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F09E" w14:textId="5B2864CA" w:rsidR="00015653" w:rsidRPr="00656794" w:rsidRDefault="00015653" w:rsidP="00015653">
      <w:pPr>
        <w:pStyle w:val="NormalWeb"/>
        <w:spacing w:before="824" w:beforeAutospacing="0" w:after="0" w:afterAutospacing="0"/>
        <w:ind w:left="720" w:right="198"/>
        <w:rPr>
          <w:rFonts w:ascii="Arial" w:hAnsi="Arial" w:cs="Arial"/>
          <w:b/>
          <w:bCs/>
          <w:color w:val="00338D"/>
          <w:sz w:val="56"/>
          <w:szCs w:val="56"/>
          <w:lang w:val="it-IT"/>
        </w:rPr>
      </w:pPr>
      <w:r w:rsidRPr="00656794">
        <w:rPr>
          <w:rFonts w:ascii="Arial" w:hAnsi="Arial" w:cs="Arial"/>
          <w:color w:val="000000"/>
          <w:sz w:val="22"/>
          <w:szCs w:val="22"/>
          <w:lang w:val="it-IT"/>
        </w:rPr>
        <w:t>kpmg</w:t>
      </w:r>
    </w:p>
    <w:p w14:paraId="4325B558" w14:textId="77777777" w:rsidR="00015653" w:rsidRPr="00656794" w:rsidRDefault="00015653" w:rsidP="00015653">
      <w:pPr>
        <w:pStyle w:val="NormalWeb"/>
        <w:spacing w:before="824" w:beforeAutospacing="0" w:after="0" w:afterAutospacing="0"/>
        <w:ind w:left="720" w:right="198"/>
        <w:rPr>
          <w:rFonts w:ascii="Arial" w:hAnsi="Arial" w:cs="Arial"/>
          <w:b/>
          <w:bCs/>
          <w:color w:val="00338D"/>
          <w:sz w:val="56"/>
          <w:szCs w:val="56"/>
          <w:lang w:val="it-IT"/>
        </w:rPr>
      </w:pPr>
    </w:p>
    <w:p w14:paraId="148C204A" w14:textId="4A6E2A82" w:rsidR="00015653" w:rsidRPr="00656794" w:rsidRDefault="00015653" w:rsidP="00015653">
      <w:pPr>
        <w:pStyle w:val="NormalWeb"/>
        <w:spacing w:before="824" w:beforeAutospacing="0" w:after="0" w:afterAutospacing="0"/>
        <w:ind w:left="720" w:right="198"/>
        <w:rPr>
          <w:rFonts w:ascii="Arial" w:hAnsi="Arial" w:cs="Arial"/>
          <w:b/>
          <w:bCs/>
          <w:color w:val="00338D"/>
          <w:sz w:val="56"/>
          <w:szCs w:val="56"/>
          <w:lang w:val="it-IT"/>
        </w:rPr>
      </w:pPr>
      <w:r w:rsidRPr="00656794">
        <w:rPr>
          <w:rFonts w:ascii="Arial" w:hAnsi="Arial" w:cs="Arial"/>
          <w:b/>
          <w:bCs/>
          <w:color w:val="00338D"/>
          <w:sz w:val="56"/>
          <w:szCs w:val="56"/>
          <w:lang w:val="it-IT"/>
        </w:rPr>
        <w:t xml:space="preserve">Relazione </w:t>
      </w:r>
      <w:r w:rsidRPr="00656794">
        <w:rPr>
          <w:rFonts w:ascii="Arial" w:hAnsi="Arial" w:cs="Arial"/>
          <w:b/>
          <w:bCs/>
          <w:color w:val="00338D"/>
          <w:sz w:val="56"/>
          <w:szCs w:val="56"/>
          <w:lang w:val="it-IT"/>
        </w:rPr>
        <w:br/>
        <w:t>dell</w:t>
      </w:r>
      <w:r w:rsidR="00F23A40" w:rsidRPr="00656794">
        <w:rPr>
          <w:rFonts w:ascii="Arial" w:hAnsi="Arial" w:cs="Arial"/>
          <w:b/>
          <w:bCs/>
          <w:color w:val="00338D"/>
          <w:sz w:val="56"/>
          <w:szCs w:val="56"/>
          <w:lang w:val="it-IT"/>
        </w:rPr>
        <w:t>’</w:t>
      </w:r>
      <w:r w:rsidRPr="00656794">
        <w:rPr>
          <w:rFonts w:ascii="Arial" w:hAnsi="Arial" w:cs="Arial"/>
          <w:b/>
          <w:bCs/>
          <w:color w:val="00338D"/>
          <w:sz w:val="56"/>
          <w:szCs w:val="56"/>
          <w:lang w:val="it-IT"/>
        </w:rPr>
        <w:t>Attuario Indipendente</w:t>
      </w:r>
    </w:p>
    <w:p w14:paraId="6F96E625" w14:textId="77777777" w:rsidR="00015653" w:rsidRPr="00656794" w:rsidRDefault="00015653" w:rsidP="00015653">
      <w:pPr>
        <w:pStyle w:val="NormalWeb"/>
        <w:spacing w:before="824" w:beforeAutospacing="0" w:after="0" w:afterAutospacing="0"/>
        <w:ind w:left="720" w:right="198"/>
        <w:rPr>
          <w:rFonts w:ascii="Arial" w:hAnsi="Arial" w:cs="Arial"/>
          <w:b/>
          <w:bCs/>
          <w:color w:val="00338D"/>
          <w:sz w:val="56"/>
          <w:szCs w:val="56"/>
          <w:lang w:val="it-IT"/>
        </w:rPr>
      </w:pPr>
    </w:p>
    <w:p w14:paraId="2B8EF1A9" w14:textId="123B1BB1" w:rsidR="00DD24A4" w:rsidRPr="00B84464" w:rsidRDefault="00DD24A4" w:rsidP="00015653">
      <w:pPr>
        <w:pStyle w:val="NormalWeb"/>
        <w:spacing w:before="824" w:beforeAutospacing="0" w:after="0" w:afterAutospacing="0"/>
        <w:ind w:left="720" w:right="198"/>
      </w:pPr>
      <w:r w:rsidRPr="00B84464">
        <w:rPr>
          <w:rFonts w:ascii="Arial" w:hAnsi="Arial" w:cs="Arial"/>
          <w:b/>
          <w:bCs/>
          <w:color w:val="00338D"/>
          <w:sz w:val="44"/>
          <w:szCs w:val="44"/>
        </w:rPr>
        <w:t xml:space="preserve">Zurich Life Assurance PLC </w:t>
      </w:r>
      <w:r w:rsidR="00015653" w:rsidRPr="00B84464">
        <w:rPr>
          <w:rFonts w:ascii="Arial" w:hAnsi="Arial" w:cs="Arial"/>
          <w:b/>
          <w:bCs/>
          <w:color w:val="00338D"/>
          <w:sz w:val="44"/>
          <w:szCs w:val="44"/>
        </w:rPr>
        <w:t xml:space="preserve">e </w:t>
      </w:r>
      <w:r w:rsidR="00015653" w:rsidRPr="00B84464">
        <w:rPr>
          <w:rFonts w:ascii="Arial" w:hAnsi="Arial" w:cs="Arial"/>
          <w:b/>
          <w:bCs/>
          <w:color w:val="00338D"/>
          <w:sz w:val="44"/>
          <w:szCs w:val="44"/>
        </w:rPr>
        <w:br/>
      </w:r>
      <w:r w:rsidRPr="00B84464">
        <w:rPr>
          <w:rFonts w:ascii="Arial" w:hAnsi="Arial" w:cs="Arial"/>
          <w:b/>
          <w:bCs/>
          <w:color w:val="00338D"/>
          <w:sz w:val="44"/>
          <w:szCs w:val="44"/>
        </w:rPr>
        <w:t xml:space="preserve">Zurich Investments Life </w:t>
      </w:r>
      <w:r w:rsidR="00E53B9D" w:rsidRPr="00B84464">
        <w:rPr>
          <w:rFonts w:ascii="Arial" w:hAnsi="Arial" w:cs="Arial"/>
          <w:b/>
          <w:bCs/>
          <w:color w:val="00338D"/>
          <w:sz w:val="44"/>
          <w:szCs w:val="44"/>
        </w:rPr>
        <w:t>S.p.A.</w:t>
      </w:r>
      <w:r w:rsidRPr="00B84464">
        <w:rPr>
          <w:rFonts w:ascii="Arial" w:hAnsi="Arial" w:cs="Arial"/>
          <w:b/>
          <w:bCs/>
          <w:color w:val="00338D"/>
          <w:sz w:val="44"/>
          <w:szCs w:val="44"/>
        </w:rPr>
        <w:t> </w:t>
      </w:r>
    </w:p>
    <w:p w14:paraId="25D9A7F4" w14:textId="6084047E" w:rsidR="00DD24A4" w:rsidRPr="00656794" w:rsidRDefault="00DD24A4" w:rsidP="00015653">
      <w:pPr>
        <w:pStyle w:val="NormalWeb"/>
        <w:spacing w:before="2148" w:beforeAutospacing="0" w:after="0" w:afterAutospacing="0"/>
        <w:ind w:firstLine="720"/>
        <w:rPr>
          <w:lang w:val="it-IT"/>
        </w:rPr>
      </w:pPr>
      <w:r w:rsidRPr="00656794">
        <w:rPr>
          <w:rFonts w:ascii="Arial" w:hAnsi="Arial" w:cs="Arial"/>
          <w:b/>
          <w:bCs/>
          <w:color w:val="00338D"/>
          <w:sz w:val="36"/>
          <w:szCs w:val="36"/>
          <w:lang w:val="it-IT"/>
        </w:rPr>
        <w:t xml:space="preserve">30 </w:t>
      </w:r>
      <w:r w:rsidR="00015653" w:rsidRPr="00656794">
        <w:rPr>
          <w:rFonts w:ascii="Arial" w:hAnsi="Arial" w:cs="Arial"/>
          <w:b/>
          <w:bCs/>
          <w:color w:val="00338D"/>
          <w:sz w:val="36"/>
          <w:szCs w:val="36"/>
          <w:lang w:val="it-IT"/>
        </w:rPr>
        <w:t>settembre</w:t>
      </w:r>
      <w:r w:rsidRPr="00656794">
        <w:rPr>
          <w:rFonts w:ascii="Arial" w:hAnsi="Arial" w:cs="Arial"/>
          <w:b/>
          <w:bCs/>
          <w:color w:val="00338D"/>
          <w:sz w:val="36"/>
          <w:szCs w:val="36"/>
          <w:lang w:val="it-IT"/>
        </w:rPr>
        <w:t xml:space="preserve"> 2021 </w:t>
      </w:r>
    </w:p>
    <w:p w14:paraId="4A1EFE95" w14:textId="77777777" w:rsidR="003A39F1" w:rsidRPr="00656794" w:rsidRDefault="003A39F1" w:rsidP="00DD24A4">
      <w:pPr>
        <w:pStyle w:val="NormalWeb"/>
        <w:spacing w:before="329" w:beforeAutospacing="0" w:after="0" w:afterAutospacing="0"/>
        <w:ind w:left="1048"/>
        <w:rPr>
          <w:rFonts w:ascii="Arial" w:hAnsi="Arial" w:cs="Arial"/>
          <w:b/>
          <w:bCs/>
          <w:color w:val="00338D"/>
          <w:sz w:val="44"/>
          <w:szCs w:val="44"/>
          <w:lang w:val="it-IT"/>
        </w:rPr>
      </w:pPr>
    </w:p>
    <w:p w14:paraId="453AE600" w14:textId="77777777" w:rsidR="003A39F1" w:rsidRPr="00656794" w:rsidRDefault="003A39F1" w:rsidP="00DD24A4">
      <w:pPr>
        <w:pStyle w:val="NormalWeb"/>
        <w:spacing w:before="329" w:beforeAutospacing="0" w:after="0" w:afterAutospacing="0"/>
        <w:ind w:left="1048"/>
        <w:rPr>
          <w:rFonts w:ascii="Arial" w:hAnsi="Arial" w:cs="Arial"/>
          <w:b/>
          <w:bCs/>
          <w:color w:val="00338D"/>
          <w:sz w:val="44"/>
          <w:szCs w:val="44"/>
          <w:lang w:val="it-IT"/>
        </w:rPr>
      </w:pPr>
    </w:p>
    <w:p w14:paraId="463A6A60" w14:textId="77777777" w:rsidR="003A39F1" w:rsidRPr="00656794" w:rsidRDefault="003A39F1" w:rsidP="00DD24A4">
      <w:pPr>
        <w:pStyle w:val="NormalWeb"/>
        <w:spacing w:before="329" w:beforeAutospacing="0" w:after="0" w:afterAutospacing="0"/>
        <w:ind w:left="1048"/>
        <w:rPr>
          <w:rFonts w:ascii="Arial" w:hAnsi="Arial" w:cs="Arial"/>
          <w:b/>
          <w:bCs/>
          <w:color w:val="00338D"/>
          <w:sz w:val="44"/>
          <w:szCs w:val="44"/>
          <w:lang w:val="it-IT"/>
        </w:rPr>
      </w:pPr>
    </w:p>
    <w:p w14:paraId="66FE7FCA" w14:textId="77777777" w:rsidR="003A39F1" w:rsidRPr="00656794" w:rsidRDefault="003A39F1" w:rsidP="00015653">
      <w:pPr>
        <w:pStyle w:val="NormalWeb"/>
        <w:spacing w:before="329" w:beforeAutospacing="0" w:after="0" w:afterAutospacing="0"/>
        <w:rPr>
          <w:rFonts w:ascii="Arial" w:hAnsi="Arial" w:cs="Arial"/>
          <w:b/>
          <w:bCs/>
          <w:color w:val="00338D"/>
          <w:sz w:val="44"/>
          <w:szCs w:val="44"/>
          <w:lang w:val="it-IT"/>
        </w:rPr>
      </w:pPr>
    </w:p>
    <w:p w14:paraId="51117EE8" w14:textId="77777777" w:rsidR="00E7044E" w:rsidRPr="00656794" w:rsidRDefault="00E7044E" w:rsidP="00E7044E">
      <w:pPr>
        <w:pStyle w:val="NormalWeb"/>
        <w:spacing w:before="0" w:beforeAutospacing="0" w:after="0" w:afterAutospacing="0"/>
        <w:ind w:left="1048"/>
        <w:rPr>
          <w:rFonts w:ascii="Arial" w:hAnsi="Arial" w:cs="Arial"/>
          <w:b/>
          <w:bCs/>
          <w:color w:val="00338D"/>
          <w:sz w:val="44"/>
          <w:szCs w:val="44"/>
          <w:lang w:val="it-IT"/>
        </w:rPr>
      </w:pPr>
    </w:p>
    <w:p w14:paraId="4C16FFF9" w14:textId="5EAE6092" w:rsidR="00DD24A4" w:rsidRPr="00656794" w:rsidRDefault="00DD24A4" w:rsidP="00015653">
      <w:pPr>
        <w:pStyle w:val="NormalWeb"/>
        <w:spacing w:before="240" w:beforeAutospacing="0" w:after="120" w:afterAutospacing="0"/>
        <w:ind w:left="1048"/>
        <w:rPr>
          <w:lang w:val="it-IT"/>
        </w:rPr>
      </w:pPr>
      <w:r w:rsidRPr="00656794">
        <w:rPr>
          <w:rFonts w:ascii="Arial" w:hAnsi="Arial" w:cs="Arial"/>
          <w:b/>
          <w:bCs/>
          <w:color w:val="00338D"/>
          <w:sz w:val="44"/>
          <w:szCs w:val="44"/>
          <w:lang w:val="it-IT"/>
        </w:rPr>
        <w:t>Conten</w:t>
      </w:r>
      <w:r w:rsidR="00E7044E" w:rsidRPr="00656794">
        <w:rPr>
          <w:rFonts w:ascii="Arial" w:hAnsi="Arial" w:cs="Arial"/>
          <w:b/>
          <w:bCs/>
          <w:color w:val="00338D"/>
          <w:sz w:val="44"/>
          <w:szCs w:val="44"/>
          <w:lang w:val="it-IT"/>
        </w:rPr>
        <w:t>uti</w:t>
      </w:r>
    </w:p>
    <w:p w14:paraId="2966CBF3" w14:textId="43DCD8D8" w:rsidR="00DD24A4" w:rsidRPr="00656794" w:rsidRDefault="00DD24A4" w:rsidP="00015653">
      <w:pPr>
        <w:pStyle w:val="NormalWeb"/>
        <w:spacing w:before="240" w:beforeAutospacing="0" w:after="120" w:afterAutospacing="0"/>
        <w:ind w:left="1043" w:right="175"/>
        <w:jc w:val="both"/>
        <w:rPr>
          <w:rFonts w:ascii="Arial" w:hAnsi="Arial" w:cs="Arial"/>
          <w:b/>
          <w:bCs/>
          <w:color w:val="000000"/>
          <w:lang w:val="it-IT"/>
        </w:rPr>
      </w:pPr>
      <w:r w:rsidRPr="00656794">
        <w:rPr>
          <w:rFonts w:ascii="Arial" w:hAnsi="Arial" w:cs="Arial"/>
          <w:b/>
          <w:bCs/>
          <w:color w:val="000000"/>
          <w:lang w:val="it-IT"/>
        </w:rPr>
        <w:t xml:space="preserve">1 </w:t>
      </w:r>
      <w:r w:rsidR="00E7044E" w:rsidRPr="00656794">
        <w:rPr>
          <w:rFonts w:ascii="Arial" w:hAnsi="Arial" w:cs="Arial"/>
          <w:b/>
          <w:bCs/>
          <w:color w:val="000000"/>
          <w:lang w:val="it-IT"/>
        </w:rPr>
        <w:t xml:space="preserve">Premessa </w:t>
      </w:r>
      <w:r w:rsidR="00E7044E" w:rsidRPr="00656794">
        <w:rPr>
          <w:rFonts w:ascii="Arial" w:hAnsi="Arial" w:cs="Arial"/>
          <w:b/>
          <w:bCs/>
          <w:color w:val="000000"/>
          <w:lang w:val="it-IT"/>
        </w:rPr>
        <w:tab/>
      </w:r>
    </w:p>
    <w:p w14:paraId="032E7C9A"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1.1 Scopo della Relazione 1 </w:t>
      </w:r>
    </w:p>
    <w:p w14:paraId="1E2A0B76"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1.2 Attuario Indipendente 2 </w:t>
      </w:r>
    </w:p>
    <w:p w14:paraId="658F219D"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1.3 Perimetro della Relazione 2 </w:t>
      </w:r>
    </w:p>
    <w:p w14:paraId="6806ADA7"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1.4 Garanzie 3 </w:t>
      </w:r>
    </w:p>
    <w:p w14:paraId="3E17C865"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1.5 Requisiti e Limiti 4 </w:t>
      </w:r>
    </w:p>
    <w:p w14:paraId="2110BDB6"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1.6 Limiti di Responsabilità e Foro Competente 4 </w:t>
      </w:r>
    </w:p>
    <w:p w14:paraId="718385B4" w14:textId="77777777" w:rsidR="00CE260C"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1.7 Terminologia 4 </w:t>
      </w:r>
    </w:p>
    <w:p w14:paraId="7F1C6C7A" w14:textId="54E85EA3"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1.8 Valuta 5</w:t>
      </w:r>
    </w:p>
    <w:p w14:paraId="752F3272" w14:textId="77777777" w:rsidR="00E7044E" w:rsidRPr="00656794" w:rsidRDefault="00E7044E" w:rsidP="00015653">
      <w:pPr>
        <w:pStyle w:val="NormalWeb"/>
        <w:spacing w:before="240" w:beforeAutospacing="0" w:after="120" w:afterAutospacing="0"/>
        <w:ind w:left="1043" w:right="175"/>
        <w:jc w:val="both"/>
        <w:rPr>
          <w:rFonts w:ascii="Arial" w:hAnsi="Arial" w:cs="Arial"/>
          <w:b/>
          <w:bCs/>
          <w:lang w:val="it-IT"/>
        </w:rPr>
      </w:pPr>
      <w:r w:rsidRPr="00656794">
        <w:rPr>
          <w:rFonts w:ascii="Arial" w:hAnsi="Arial" w:cs="Arial"/>
          <w:b/>
          <w:bCs/>
          <w:lang w:val="it-IT"/>
        </w:rPr>
        <w:t xml:space="preserve">2 Riepilogo esecutivo e conclusioni 6 </w:t>
      </w:r>
    </w:p>
    <w:p w14:paraId="148CFDB2"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2.1 Riepilogo esecutivo 6 </w:t>
      </w:r>
    </w:p>
    <w:p w14:paraId="007A802E" w14:textId="2EAF423E"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2.2 Conclusioni 14</w:t>
      </w:r>
    </w:p>
    <w:p w14:paraId="5082B490"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2"/>
          <w:szCs w:val="22"/>
          <w:lang w:val="it-IT"/>
        </w:rPr>
      </w:pPr>
      <w:r w:rsidRPr="00656794">
        <w:rPr>
          <w:rFonts w:ascii="Arial" w:hAnsi="Arial" w:cs="Arial"/>
          <w:b/>
          <w:bCs/>
          <w:sz w:val="22"/>
          <w:szCs w:val="22"/>
          <w:lang w:val="it-IT"/>
        </w:rPr>
        <w:t xml:space="preserve">3 Zurich Investments Life SpA 15 </w:t>
      </w:r>
    </w:p>
    <w:p w14:paraId="16F5969D"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3.1 Panoramica 15 </w:t>
      </w:r>
    </w:p>
    <w:p w14:paraId="1C8C9C31" w14:textId="5C0D2E72"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3.2 Natura dell</w:t>
      </w:r>
      <w:r w:rsidR="00F23A40" w:rsidRPr="00656794">
        <w:rPr>
          <w:rFonts w:ascii="Arial" w:hAnsi="Arial" w:cs="Arial"/>
          <w:b/>
          <w:bCs/>
          <w:sz w:val="20"/>
          <w:szCs w:val="20"/>
          <w:lang w:val="it-IT"/>
        </w:rPr>
        <w:t>’</w:t>
      </w:r>
      <w:r w:rsidRPr="00656794">
        <w:rPr>
          <w:rFonts w:ascii="Arial" w:hAnsi="Arial" w:cs="Arial"/>
          <w:b/>
          <w:bCs/>
          <w:sz w:val="20"/>
          <w:szCs w:val="20"/>
          <w:lang w:val="it-IT"/>
        </w:rPr>
        <w:t xml:space="preserve">attività scritta 15 </w:t>
      </w:r>
    </w:p>
    <w:p w14:paraId="07ED37F8"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3.3 Profilo di rischio e gestione 17 </w:t>
      </w:r>
    </w:p>
    <w:p w14:paraId="482B1C3A"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3.4 Accordi operativi 19 </w:t>
      </w:r>
    </w:p>
    <w:p w14:paraId="05C49D2A"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3.5 Riassicurazione 20 </w:t>
      </w:r>
    </w:p>
    <w:p w14:paraId="1710F1B1"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3.6 Profilo finanziario 20 </w:t>
      </w:r>
    </w:p>
    <w:p w14:paraId="3BDAA6C5"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3.7 Posizione di solvibilità 22 </w:t>
      </w:r>
    </w:p>
    <w:p w14:paraId="097646DA" w14:textId="4AD21FC2"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3.8 Aspettative ragionevoli </w:t>
      </w:r>
      <w:r w:rsidR="00DC30A5">
        <w:rPr>
          <w:rFonts w:ascii="Arial" w:hAnsi="Arial" w:cs="Arial"/>
          <w:b/>
          <w:bCs/>
          <w:sz w:val="20"/>
          <w:szCs w:val="20"/>
          <w:lang w:val="it-IT"/>
        </w:rPr>
        <w:t>dei</w:t>
      </w:r>
      <w:r w:rsidR="00DC30A5" w:rsidRPr="00656794">
        <w:rPr>
          <w:rFonts w:ascii="Arial" w:hAnsi="Arial" w:cs="Arial"/>
          <w:b/>
          <w:bCs/>
          <w:sz w:val="20"/>
          <w:szCs w:val="20"/>
          <w:lang w:val="it-IT"/>
        </w:rPr>
        <w:t xml:space="preserve"> </w:t>
      </w:r>
      <w:r w:rsidR="00DC30A5">
        <w:rPr>
          <w:rFonts w:ascii="Arial" w:hAnsi="Arial" w:cs="Arial"/>
          <w:b/>
          <w:bCs/>
          <w:sz w:val="20"/>
          <w:szCs w:val="20"/>
          <w:lang w:val="it-IT"/>
        </w:rPr>
        <w:t>contraenti</w:t>
      </w:r>
      <w:r w:rsidRPr="00656794">
        <w:rPr>
          <w:rFonts w:ascii="Arial" w:hAnsi="Arial" w:cs="Arial"/>
          <w:b/>
          <w:bCs/>
          <w:sz w:val="20"/>
          <w:szCs w:val="20"/>
          <w:lang w:val="it-IT"/>
        </w:rPr>
        <w:t xml:space="preserve"> 23 </w:t>
      </w:r>
    </w:p>
    <w:p w14:paraId="304EB217" w14:textId="3011CC82"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3.9 Reclami e </w:t>
      </w:r>
      <w:r w:rsidR="00984CF5">
        <w:rPr>
          <w:rFonts w:ascii="Arial" w:hAnsi="Arial" w:cs="Arial"/>
          <w:b/>
          <w:bCs/>
          <w:sz w:val="20"/>
          <w:szCs w:val="20"/>
          <w:lang w:val="it-IT"/>
        </w:rPr>
        <w:t>contenziosi</w:t>
      </w:r>
      <w:r w:rsidR="00984CF5" w:rsidRPr="00656794">
        <w:rPr>
          <w:rFonts w:ascii="Arial" w:hAnsi="Arial" w:cs="Arial"/>
          <w:b/>
          <w:bCs/>
          <w:sz w:val="20"/>
          <w:szCs w:val="20"/>
          <w:lang w:val="it-IT"/>
        </w:rPr>
        <w:t xml:space="preserve"> </w:t>
      </w:r>
      <w:r w:rsidRPr="00656794">
        <w:rPr>
          <w:rFonts w:ascii="Arial" w:hAnsi="Arial" w:cs="Arial"/>
          <w:b/>
          <w:bCs/>
          <w:sz w:val="20"/>
          <w:szCs w:val="20"/>
          <w:lang w:val="it-IT"/>
        </w:rPr>
        <w:t xml:space="preserve">23 </w:t>
      </w:r>
    </w:p>
    <w:p w14:paraId="769421ED" w14:textId="1988CDDF"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3.10 Altre questioni regolamentari 24</w:t>
      </w:r>
    </w:p>
    <w:p w14:paraId="2C489E35" w14:textId="77777777" w:rsidR="00E7044E" w:rsidRPr="00656794" w:rsidRDefault="00E7044E" w:rsidP="00015653">
      <w:pPr>
        <w:pStyle w:val="NormalWeb"/>
        <w:spacing w:before="240" w:beforeAutospacing="0" w:after="120" w:afterAutospacing="0"/>
        <w:ind w:left="1043" w:right="175"/>
        <w:jc w:val="both"/>
        <w:rPr>
          <w:rFonts w:ascii="Arial" w:hAnsi="Arial" w:cs="Arial"/>
          <w:b/>
          <w:bCs/>
          <w:lang w:val="it-IT"/>
        </w:rPr>
      </w:pPr>
      <w:r w:rsidRPr="00656794">
        <w:rPr>
          <w:rFonts w:ascii="Arial" w:hAnsi="Arial" w:cs="Arial"/>
          <w:b/>
          <w:bCs/>
          <w:lang w:val="it-IT"/>
        </w:rPr>
        <w:t xml:space="preserve">4 Zurich Life Assurance plc 25 </w:t>
      </w:r>
    </w:p>
    <w:p w14:paraId="469BEEBE"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4.1 Panoramica 25 </w:t>
      </w:r>
    </w:p>
    <w:p w14:paraId="3C529A07" w14:textId="395804F1"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4.2 Natura dell</w:t>
      </w:r>
      <w:r w:rsidR="00F23A40" w:rsidRPr="00656794">
        <w:rPr>
          <w:rFonts w:ascii="Arial" w:hAnsi="Arial" w:cs="Arial"/>
          <w:b/>
          <w:bCs/>
          <w:sz w:val="20"/>
          <w:szCs w:val="20"/>
          <w:lang w:val="it-IT"/>
        </w:rPr>
        <w:t>’</w:t>
      </w:r>
      <w:r w:rsidRPr="00656794">
        <w:rPr>
          <w:rFonts w:ascii="Arial" w:hAnsi="Arial" w:cs="Arial"/>
          <w:b/>
          <w:bCs/>
          <w:sz w:val="20"/>
          <w:szCs w:val="20"/>
          <w:lang w:val="it-IT"/>
        </w:rPr>
        <w:t>attività scritta 26</w:t>
      </w:r>
    </w:p>
    <w:p w14:paraId="2A9DC039"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lastRenderedPageBreak/>
        <w:t xml:space="preserve">4.3 Riassicurazione 26 </w:t>
      </w:r>
    </w:p>
    <w:p w14:paraId="46F1335B"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4.4 Profilo e gestione del rischio 26 </w:t>
      </w:r>
    </w:p>
    <w:p w14:paraId="6015EA64"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4.5 Profilo finanziario 29 </w:t>
      </w:r>
    </w:p>
    <w:p w14:paraId="61A92DA7" w14:textId="4104614F"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4.6 Modalità operative 33 </w:t>
      </w:r>
    </w:p>
    <w:p w14:paraId="4BD390D1"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4.7 Ragionevoli aspettative del contraente 34 </w:t>
      </w:r>
    </w:p>
    <w:p w14:paraId="34AA6CDD"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4.8 Reclami e contenziosi 35 </w:t>
      </w:r>
    </w:p>
    <w:p w14:paraId="57006F04" w14:textId="0E6786C8"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4.9 Altre questioni regolamentari 35</w:t>
      </w:r>
    </w:p>
    <w:p w14:paraId="0E41D43D" w14:textId="575E933F" w:rsidR="00E7044E" w:rsidRPr="00656794" w:rsidRDefault="00E7044E" w:rsidP="00015653">
      <w:pPr>
        <w:pStyle w:val="NormalWeb"/>
        <w:spacing w:before="240" w:beforeAutospacing="0" w:after="120" w:afterAutospacing="0"/>
        <w:ind w:left="1043" w:right="175"/>
        <w:jc w:val="both"/>
        <w:rPr>
          <w:rFonts w:ascii="Arial" w:hAnsi="Arial" w:cs="Arial"/>
          <w:b/>
          <w:bCs/>
          <w:sz w:val="22"/>
          <w:szCs w:val="22"/>
          <w:lang w:val="it-IT"/>
        </w:rPr>
      </w:pPr>
      <w:r w:rsidRPr="00656794">
        <w:rPr>
          <w:rFonts w:ascii="Arial" w:hAnsi="Arial" w:cs="Arial"/>
          <w:b/>
          <w:bCs/>
          <w:lang w:val="it-IT"/>
        </w:rPr>
        <w:t xml:space="preserve">5 </w:t>
      </w:r>
      <w:r w:rsidR="00AE4256">
        <w:rPr>
          <w:rFonts w:ascii="Arial" w:hAnsi="Arial" w:cs="Arial"/>
          <w:b/>
          <w:bCs/>
          <w:lang w:val="it-IT"/>
        </w:rPr>
        <w:t>L’Atto</w:t>
      </w:r>
      <w:r w:rsidR="00CE466E">
        <w:rPr>
          <w:rFonts w:ascii="Arial" w:hAnsi="Arial" w:cs="Arial"/>
          <w:b/>
          <w:bCs/>
          <w:lang w:val="it-IT"/>
        </w:rPr>
        <w:t xml:space="preserve"> di </w:t>
      </w:r>
      <w:r w:rsidR="00AE4256">
        <w:rPr>
          <w:rFonts w:ascii="Arial" w:hAnsi="Arial" w:cs="Arial"/>
          <w:b/>
          <w:bCs/>
          <w:lang w:val="it-IT"/>
        </w:rPr>
        <w:t>T</w:t>
      </w:r>
      <w:r w:rsidR="00CE466E">
        <w:rPr>
          <w:rFonts w:ascii="Arial" w:hAnsi="Arial" w:cs="Arial"/>
          <w:b/>
          <w:bCs/>
          <w:lang w:val="it-IT"/>
        </w:rPr>
        <w:t>rasferimento</w:t>
      </w:r>
      <w:r w:rsidRPr="00656794">
        <w:rPr>
          <w:rFonts w:ascii="Arial" w:hAnsi="Arial" w:cs="Arial"/>
          <w:b/>
          <w:bCs/>
          <w:lang w:val="it-IT"/>
        </w:rPr>
        <w:t xml:space="preserve"> proposto </w:t>
      </w:r>
      <w:r w:rsidRPr="00656794">
        <w:rPr>
          <w:rFonts w:ascii="Arial" w:hAnsi="Arial" w:cs="Arial"/>
          <w:b/>
          <w:bCs/>
          <w:sz w:val="22"/>
          <w:szCs w:val="22"/>
          <w:lang w:val="it-IT"/>
        </w:rPr>
        <w:t xml:space="preserve">36 </w:t>
      </w:r>
    </w:p>
    <w:p w14:paraId="0E08EEF9" w14:textId="331F2230"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5.1 Contesto e motivazione </w:t>
      </w:r>
      <w:r w:rsidR="00AE4256">
        <w:rPr>
          <w:rFonts w:ascii="Arial" w:hAnsi="Arial" w:cs="Arial"/>
          <w:b/>
          <w:bCs/>
          <w:sz w:val="20"/>
          <w:szCs w:val="20"/>
          <w:lang w:val="it-IT"/>
        </w:rPr>
        <w:t>dell’Atto</w:t>
      </w:r>
      <w:r w:rsidR="00CE466E">
        <w:rPr>
          <w:rFonts w:ascii="Arial" w:hAnsi="Arial" w:cs="Arial"/>
          <w:b/>
          <w:bCs/>
          <w:sz w:val="20"/>
          <w:szCs w:val="20"/>
          <w:lang w:val="it-IT"/>
        </w:rPr>
        <w:t xml:space="preserve"> di </w:t>
      </w:r>
      <w:r w:rsidR="00AE4256">
        <w:rPr>
          <w:rFonts w:ascii="Arial" w:hAnsi="Arial" w:cs="Arial"/>
          <w:b/>
          <w:bCs/>
          <w:sz w:val="20"/>
          <w:szCs w:val="20"/>
          <w:lang w:val="it-IT"/>
        </w:rPr>
        <w:t>T</w:t>
      </w:r>
      <w:r w:rsidR="00CE466E">
        <w:rPr>
          <w:rFonts w:ascii="Arial" w:hAnsi="Arial" w:cs="Arial"/>
          <w:b/>
          <w:bCs/>
          <w:sz w:val="20"/>
          <w:szCs w:val="20"/>
          <w:lang w:val="it-IT"/>
        </w:rPr>
        <w:t>rasferimento</w:t>
      </w:r>
      <w:r w:rsidRPr="00656794">
        <w:rPr>
          <w:rFonts w:ascii="Arial" w:hAnsi="Arial" w:cs="Arial"/>
          <w:b/>
          <w:bCs/>
          <w:sz w:val="20"/>
          <w:szCs w:val="20"/>
          <w:lang w:val="it-IT"/>
        </w:rPr>
        <w:t xml:space="preserve"> proposto 36 </w:t>
      </w:r>
    </w:p>
    <w:p w14:paraId="1A6C3622"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5.2 Continuità del procedimento 37 </w:t>
      </w:r>
    </w:p>
    <w:p w14:paraId="032C2996"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5.3 Diritti e obblighi 37 </w:t>
      </w:r>
    </w:p>
    <w:p w14:paraId="5E4DC921"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5.4 Mantenimento degli accordi di riassicurazione esistenti 37 </w:t>
      </w:r>
    </w:p>
    <w:p w14:paraId="066DAD79"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5.5 Mantenimento e funzionamento dei fondi 37 </w:t>
      </w:r>
    </w:p>
    <w:p w14:paraId="21010748"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5.6 Qualità delle attività 38 </w:t>
      </w:r>
    </w:p>
    <w:p w14:paraId="586AF006"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5.7 Accordi di sostegno del capitale 38 </w:t>
      </w:r>
    </w:p>
    <w:p w14:paraId="6CC072CD"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5.8 Target Capital 38 </w:t>
      </w:r>
    </w:p>
    <w:p w14:paraId="780FED0B" w14:textId="53C1BB2F"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5.9 </w:t>
      </w:r>
      <w:r w:rsidR="000C0220" w:rsidRPr="00656794">
        <w:rPr>
          <w:rFonts w:ascii="Arial" w:hAnsi="Arial" w:cs="Arial"/>
          <w:b/>
          <w:bCs/>
          <w:sz w:val="20"/>
          <w:szCs w:val="20"/>
          <w:lang w:val="it-IT"/>
        </w:rPr>
        <w:t>Nuova strategia aziendale</w:t>
      </w:r>
      <w:r w:rsidRPr="00656794">
        <w:rPr>
          <w:rFonts w:ascii="Arial" w:hAnsi="Arial" w:cs="Arial"/>
          <w:b/>
          <w:bCs/>
          <w:sz w:val="20"/>
          <w:szCs w:val="20"/>
          <w:lang w:val="it-IT"/>
        </w:rPr>
        <w:t xml:space="preserve"> 38 </w:t>
      </w:r>
    </w:p>
    <w:p w14:paraId="74B302C9" w14:textId="32EF0B54"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5.10 </w:t>
      </w:r>
      <w:r w:rsidR="00A32633" w:rsidRPr="00656794">
        <w:rPr>
          <w:rFonts w:ascii="Arial" w:hAnsi="Arial" w:cs="Arial"/>
          <w:b/>
          <w:bCs/>
          <w:sz w:val="20"/>
          <w:szCs w:val="20"/>
          <w:lang w:val="it-IT"/>
        </w:rPr>
        <w:t>Gestione del Rischio</w:t>
      </w:r>
      <w:r w:rsidRPr="00656794">
        <w:rPr>
          <w:rFonts w:ascii="Arial" w:hAnsi="Arial" w:cs="Arial"/>
          <w:b/>
          <w:bCs/>
          <w:sz w:val="20"/>
          <w:szCs w:val="20"/>
          <w:lang w:val="it-IT"/>
        </w:rPr>
        <w:t xml:space="preserve">38 </w:t>
      </w:r>
    </w:p>
    <w:p w14:paraId="287CC4BA"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5.11 Esercizio delle opzioni 38 </w:t>
      </w:r>
    </w:p>
    <w:p w14:paraId="2566D992"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5.12 Accordi amministrativi 38 </w:t>
      </w:r>
    </w:p>
    <w:p w14:paraId="4EDC7940"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5.13 Fiscalità 39 </w:t>
      </w:r>
    </w:p>
    <w:p w14:paraId="3E1CD5A6" w14:textId="0841B5AB"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5.14 Costi </w:t>
      </w:r>
      <w:r w:rsidR="00AE4256">
        <w:rPr>
          <w:rFonts w:ascii="Arial" w:hAnsi="Arial" w:cs="Arial"/>
          <w:b/>
          <w:bCs/>
          <w:sz w:val="20"/>
          <w:szCs w:val="20"/>
          <w:lang w:val="it-IT"/>
        </w:rPr>
        <w:t>dell’Atto di</w:t>
      </w:r>
      <w:r w:rsidR="00CE466E">
        <w:rPr>
          <w:rFonts w:ascii="Arial" w:hAnsi="Arial" w:cs="Arial"/>
          <w:b/>
          <w:bCs/>
          <w:sz w:val="20"/>
          <w:szCs w:val="20"/>
          <w:lang w:val="it-IT"/>
        </w:rPr>
        <w:t xml:space="preserve"> </w:t>
      </w:r>
      <w:r w:rsidR="00AE4256">
        <w:rPr>
          <w:rFonts w:ascii="Arial" w:hAnsi="Arial" w:cs="Arial"/>
          <w:b/>
          <w:bCs/>
          <w:sz w:val="20"/>
          <w:szCs w:val="20"/>
          <w:lang w:val="it-IT"/>
        </w:rPr>
        <w:t>T</w:t>
      </w:r>
      <w:r w:rsidR="00CE466E">
        <w:rPr>
          <w:rFonts w:ascii="Arial" w:hAnsi="Arial" w:cs="Arial"/>
          <w:b/>
          <w:bCs/>
          <w:sz w:val="20"/>
          <w:szCs w:val="20"/>
          <w:lang w:val="it-IT"/>
        </w:rPr>
        <w:t>rasferimento</w:t>
      </w:r>
      <w:r w:rsidRPr="00656794">
        <w:rPr>
          <w:rFonts w:ascii="Arial" w:hAnsi="Arial" w:cs="Arial"/>
          <w:b/>
          <w:bCs/>
          <w:sz w:val="20"/>
          <w:szCs w:val="20"/>
          <w:lang w:val="it-IT"/>
        </w:rPr>
        <w:t xml:space="preserve"> proposto 39 </w:t>
      </w:r>
    </w:p>
    <w:p w14:paraId="0A472C1E" w14:textId="2FF09665"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5.15 Comunicazioni </w:t>
      </w:r>
      <w:r w:rsidR="00DC30A5">
        <w:rPr>
          <w:rFonts w:ascii="Arial" w:hAnsi="Arial" w:cs="Arial"/>
          <w:b/>
          <w:bCs/>
          <w:sz w:val="20"/>
          <w:szCs w:val="20"/>
          <w:lang w:val="it-IT"/>
        </w:rPr>
        <w:t>ai</w:t>
      </w:r>
      <w:r w:rsidR="00DC30A5" w:rsidRPr="00656794">
        <w:rPr>
          <w:rFonts w:ascii="Arial" w:hAnsi="Arial" w:cs="Arial"/>
          <w:b/>
          <w:bCs/>
          <w:sz w:val="20"/>
          <w:szCs w:val="20"/>
          <w:lang w:val="it-IT"/>
        </w:rPr>
        <w:t xml:space="preserve"> </w:t>
      </w:r>
      <w:r w:rsidR="00DC30A5">
        <w:rPr>
          <w:rFonts w:ascii="Arial" w:hAnsi="Arial" w:cs="Arial"/>
          <w:b/>
          <w:bCs/>
          <w:sz w:val="20"/>
          <w:szCs w:val="20"/>
          <w:lang w:val="it-IT"/>
        </w:rPr>
        <w:t>contraenti</w:t>
      </w:r>
      <w:r w:rsidRPr="00656794">
        <w:rPr>
          <w:rFonts w:ascii="Arial" w:hAnsi="Arial" w:cs="Arial"/>
          <w:b/>
          <w:bCs/>
          <w:sz w:val="20"/>
          <w:szCs w:val="20"/>
          <w:lang w:val="it-IT"/>
        </w:rPr>
        <w:t xml:space="preserve"> 39 </w:t>
      </w:r>
    </w:p>
    <w:p w14:paraId="46AFD281" w14:textId="733D1B24"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5.16 Normativa applicabile 40</w:t>
      </w:r>
    </w:p>
    <w:p w14:paraId="3B5942F1" w14:textId="64A52BFF" w:rsidR="00A87820" w:rsidRDefault="00E7044E" w:rsidP="00015653">
      <w:pPr>
        <w:pStyle w:val="NormalWeb"/>
        <w:spacing w:before="240" w:beforeAutospacing="0" w:after="120" w:afterAutospacing="0"/>
        <w:ind w:left="1043" w:right="175"/>
        <w:jc w:val="both"/>
        <w:rPr>
          <w:rFonts w:ascii="Arial" w:hAnsi="Arial" w:cs="Arial"/>
          <w:b/>
          <w:bCs/>
          <w:sz w:val="22"/>
          <w:szCs w:val="22"/>
          <w:lang w:val="it-IT"/>
        </w:rPr>
      </w:pPr>
      <w:r w:rsidRPr="00656794">
        <w:rPr>
          <w:rFonts w:ascii="Arial" w:hAnsi="Arial" w:cs="Arial"/>
          <w:b/>
          <w:bCs/>
          <w:lang w:val="it-IT"/>
        </w:rPr>
        <w:t xml:space="preserve">6 Considerazioni generali in sede di revisione </w:t>
      </w:r>
      <w:r w:rsidR="00AE4256">
        <w:rPr>
          <w:rFonts w:ascii="Arial" w:hAnsi="Arial" w:cs="Arial"/>
          <w:b/>
          <w:bCs/>
          <w:lang w:val="it-IT"/>
        </w:rPr>
        <w:t>dell’Atto di</w:t>
      </w:r>
      <w:r w:rsidR="00CE466E">
        <w:rPr>
          <w:rFonts w:ascii="Arial" w:hAnsi="Arial" w:cs="Arial"/>
          <w:b/>
          <w:bCs/>
          <w:lang w:val="it-IT"/>
        </w:rPr>
        <w:t xml:space="preserve"> </w:t>
      </w:r>
      <w:r w:rsidR="00AE4256">
        <w:rPr>
          <w:rFonts w:ascii="Arial" w:hAnsi="Arial" w:cs="Arial"/>
          <w:b/>
          <w:bCs/>
          <w:lang w:val="it-IT"/>
        </w:rPr>
        <w:t>T</w:t>
      </w:r>
      <w:r w:rsidR="00CE466E">
        <w:rPr>
          <w:rFonts w:ascii="Arial" w:hAnsi="Arial" w:cs="Arial"/>
          <w:b/>
          <w:bCs/>
          <w:lang w:val="it-IT"/>
        </w:rPr>
        <w:t>rasferimento</w:t>
      </w:r>
      <w:r w:rsidRPr="00656794">
        <w:rPr>
          <w:rFonts w:ascii="Arial" w:hAnsi="Arial" w:cs="Arial"/>
          <w:b/>
          <w:bCs/>
          <w:lang w:val="it-IT"/>
        </w:rPr>
        <w:t xml:space="preserve"> proposto </w:t>
      </w:r>
      <w:r w:rsidRPr="00656794">
        <w:rPr>
          <w:rFonts w:ascii="Arial" w:hAnsi="Arial" w:cs="Arial"/>
          <w:b/>
          <w:bCs/>
          <w:sz w:val="22"/>
          <w:szCs w:val="22"/>
          <w:lang w:val="it-IT"/>
        </w:rPr>
        <w:t xml:space="preserve">41 </w:t>
      </w:r>
    </w:p>
    <w:p w14:paraId="6F186B10" w14:textId="38EB70F5"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6.1 Introduzione 41 </w:t>
      </w:r>
    </w:p>
    <w:p w14:paraId="4B9BE2BD" w14:textId="5F5C1C56"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6.2 Impatto sulla sicurezza </w:t>
      </w:r>
      <w:r w:rsidR="00AE4256">
        <w:rPr>
          <w:rFonts w:ascii="Arial" w:hAnsi="Arial" w:cs="Arial"/>
          <w:b/>
          <w:bCs/>
          <w:sz w:val="20"/>
          <w:szCs w:val="20"/>
          <w:lang w:val="it-IT"/>
        </w:rPr>
        <w:t>delle prestazioni</w:t>
      </w:r>
      <w:r w:rsidRPr="00656794">
        <w:rPr>
          <w:rFonts w:ascii="Arial" w:hAnsi="Arial" w:cs="Arial"/>
          <w:b/>
          <w:bCs/>
          <w:sz w:val="20"/>
          <w:szCs w:val="20"/>
          <w:lang w:val="it-IT"/>
        </w:rPr>
        <w:t xml:space="preserve"> </w:t>
      </w:r>
      <w:r w:rsidR="00DC30A5">
        <w:rPr>
          <w:rFonts w:ascii="Arial" w:hAnsi="Arial" w:cs="Arial"/>
          <w:b/>
          <w:bCs/>
          <w:sz w:val="20"/>
          <w:szCs w:val="20"/>
          <w:lang w:val="it-IT"/>
        </w:rPr>
        <w:t>dei</w:t>
      </w:r>
      <w:r w:rsidR="00DC30A5" w:rsidRPr="00656794">
        <w:rPr>
          <w:rFonts w:ascii="Arial" w:hAnsi="Arial" w:cs="Arial"/>
          <w:b/>
          <w:bCs/>
          <w:sz w:val="20"/>
          <w:szCs w:val="20"/>
          <w:lang w:val="it-IT"/>
        </w:rPr>
        <w:t xml:space="preserve"> </w:t>
      </w:r>
      <w:r w:rsidR="00DC30A5">
        <w:rPr>
          <w:rFonts w:ascii="Arial" w:hAnsi="Arial" w:cs="Arial"/>
          <w:b/>
          <w:bCs/>
          <w:sz w:val="20"/>
          <w:szCs w:val="20"/>
          <w:lang w:val="it-IT"/>
        </w:rPr>
        <w:t>contraenti</w:t>
      </w:r>
      <w:r w:rsidRPr="00656794">
        <w:rPr>
          <w:rFonts w:ascii="Arial" w:hAnsi="Arial" w:cs="Arial"/>
          <w:b/>
          <w:bCs/>
          <w:sz w:val="20"/>
          <w:szCs w:val="20"/>
          <w:lang w:val="it-IT"/>
        </w:rPr>
        <w:t xml:space="preserve"> 41 </w:t>
      </w:r>
    </w:p>
    <w:p w14:paraId="622B87D6" w14:textId="0B7B050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6.3 Equo trattamento </w:t>
      </w:r>
      <w:r w:rsidR="00DC30A5">
        <w:rPr>
          <w:rFonts w:ascii="Arial" w:hAnsi="Arial" w:cs="Arial"/>
          <w:b/>
          <w:bCs/>
          <w:sz w:val="20"/>
          <w:szCs w:val="20"/>
          <w:lang w:val="it-IT"/>
        </w:rPr>
        <w:t>dei</w:t>
      </w:r>
      <w:r w:rsidR="00DC30A5" w:rsidRPr="00656794">
        <w:rPr>
          <w:rFonts w:ascii="Arial" w:hAnsi="Arial" w:cs="Arial"/>
          <w:b/>
          <w:bCs/>
          <w:sz w:val="20"/>
          <w:szCs w:val="20"/>
          <w:lang w:val="it-IT"/>
        </w:rPr>
        <w:t xml:space="preserve"> </w:t>
      </w:r>
      <w:r w:rsidR="00DC30A5">
        <w:rPr>
          <w:rFonts w:ascii="Arial" w:hAnsi="Arial" w:cs="Arial"/>
          <w:b/>
          <w:bCs/>
          <w:sz w:val="20"/>
          <w:szCs w:val="20"/>
          <w:lang w:val="it-IT"/>
        </w:rPr>
        <w:t>contraenti</w:t>
      </w:r>
      <w:r w:rsidRPr="00656794">
        <w:rPr>
          <w:rFonts w:ascii="Arial" w:hAnsi="Arial" w:cs="Arial"/>
          <w:b/>
          <w:bCs/>
          <w:sz w:val="20"/>
          <w:szCs w:val="20"/>
          <w:lang w:val="it-IT"/>
        </w:rPr>
        <w:t xml:space="preserve"> e impatto sulle loro ragionevoli aspettative 42</w:t>
      </w:r>
    </w:p>
    <w:p w14:paraId="27E6C225" w14:textId="3B054E0B" w:rsidR="00E7044E" w:rsidRPr="00656794" w:rsidRDefault="00E7044E" w:rsidP="00015653">
      <w:pPr>
        <w:pStyle w:val="NormalWeb"/>
        <w:spacing w:before="240" w:beforeAutospacing="0" w:after="120" w:afterAutospacing="0"/>
        <w:ind w:left="1043" w:right="175"/>
        <w:jc w:val="both"/>
        <w:rPr>
          <w:rFonts w:ascii="Arial" w:hAnsi="Arial" w:cs="Arial"/>
          <w:b/>
          <w:bCs/>
          <w:sz w:val="22"/>
          <w:szCs w:val="22"/>
          <w:lang w:val="it-IT"/>
        </w:rPr>
      </w:pPr>
      <w:r w:rsidRPr="00656794">
        <w:rPr>
          <w:rFonts w:ascii="Arial" w:hAnsi="Arial" w:cs="Arial"/>
          <w:b/>
          <w:bCs/>
          <w:lang w:val="it-IT"/>
        </w:rPr>
        <w:lastRenderedPageBreak/>
        <w:t xml:space="preserve">7 Valutazione </w:t>
      </w:r>
      <w:r w:rsidR="00AE4256">
        <w:rPr>
          <w:rFonts w:ascii="Arial" w:hAnsi="Arial" w:cs="Arial"/>
          <w:b/>
          <w:bCs/>
          <w:lang w:val="it-IT"/>
        </w:rPr>
        <w:t>dell’Atto</w:t>
      </w:r>
      <w:r w:rsidR="00CE466E">
        <w:rPr>
          <w:rFonts w:ascii="Arial" w:hAnsi="Arial" w:cs="Arial"/>
          <w:b/>
          <w:bCs/>
          <w:lang w:val="it-IT"/>
        </w:rPr>
        <w:t xml:space="preserve"> di </w:t>
      </w:r>
      <w:r w:rsidR="00AE4256">
        <w:rPr>
          <w:rFonts w:ascii="Arial" w:hAnsi="Arial" w:cs="Arial"/>
          <w:b/>
          <w:bCs/>
          <w:lang w:val="it-IT"/>
        </w:rPr>
        <w:t>T</w:t>
      </w:r>
      <w:r w:rsidR="00CE466E">
        <w:rPr>
          <w:rFonts w:ascii="Arial" w:hAnsi="Arial" w:cs="Arial"/>
          <w:b/>
          <w:bCs/>
          <w:lang w:val="it-IT"/>
        </w:rPr>
        <w:t>rasferimento</w:t>
      </w:r>
      <w:r w:rsidRPr="00656794">
        <w:rPr>
          <w:rFonts w:ascii="Arial" w:hAnsi="Arial" w:cs="Arial"/>
          <w:b/>
          <w:bCs/>
          <w:lang w:val="it-IT"/>
        </w:rPr>
        <w:t xml:space="preserve"> sulla sicurezza finanziaria delle polizze </w:t>
      </w:r>
      <w:r w:rsidRPr="00656794">
        <w:rPr>
          <w:rFonts w:ascii="Arial" w:hAnsi="Arial" w:cs="Arial"/>
          <w:b/>
          <w:bCs/>
          <w:sz w:val="22"/>
          <w:szCs w:val="22"/>
          <w:lang w:val="it-IT"/>
        </w:rPr>
        <w:t xml:space="preserve">43 </w:t>
      </w:r>
    </w:p>
    <w:p w14:paraId="1B29BEF6"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7.1 Introduzione 43 </w:t>
      </w:r>
    </w:p>
    <w:p w14:paraId="3F2787CE"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7.2 Valutazione della solidità finanziaria 43 </w:t>
      </w:r>
    </w:p>
    <w:p w14:paraId="737747C0"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7.3 Altri aspetti che incidono sulla sicurezza finanziaria 46 </w:t>
      </w:r>
    </w:p>
    <w:p w14:paraId="5E740963"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7.4 Accordi di riassicurazione 47 </w:t>
      </w:r>
    </w:p>
    <w:p w14:paraId="1E444E5C"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7.5 Aspetti vari 47 </w:t>
      </w:r>
    </w:p>
    <w:p w14:paraId="3B0708F0" w14:textId="09EBA5D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7.6 Conclusione sull</w:t>
      </w:r>
      <w:r w:rsidR="00F23A40" w:rsidRPr="00656794">
        <w:rPr>
          <w:rFonts w:ascii="Arial" w:hAnsi="Arial" w:cs="Arial"/>
          <w:b/>
          <w:bCs/>
          <w:sz w:val="20"/>
          <w:szCs w:val="20"/>
          <w:lang w:val="it-IT"/>
        </w:rPr>
        <w:t>’</w:t>
      </w:r>
      <w:r w:rsidRPr="00656794">
        <w:rPr>
          <w:rFonts w:ascii="Arial" w:hAnsi="Arial" w:cs="Arial"/>
          <w:b/>
          <w:bCs/>
          <w:sz w:val="20"/>
          <w:szCs w:val="20"/>
          <w:lang w:val="it-IT"/>
        </w:rPr>
        <w:t xml:space="preserve">impatto </w:t>
      </w:r>
      <w:r w:rsidR="00AE4256">
        <w:rPr>
          <w:rFonts w:ascii="Arial" w:hAnsi="Arial" w:cs="Arial"/>
          <w:b/>
          <w:bCs/>
          <w:sz w:val="20"/>
          <w:szCs w:val="20"/>
          <w:lang w:val="it-IT"/>
        </w:rPr>
        <w:t>dell’Atto</w:t>
      </w:r>
      <w:r w:rsidR="00CE466E">
        <w:rPr>
          <w:rFonts w:ascii="Arial" w:hAnsi="Arial" w:cs="Arial"/>
          <w:b/>
          <w:bCs/>
          <w:sz w:val="20"/>
          <w:szCs w:val="20"/>
          <w:lang w:val="it-IT"/>
        </w:rPr>
        <w:t xml:space="preserve"> di trasferimento</w:t>
      </w:r>
      <w:r w:rsidRPr="00656794">
        <w:rPr>
          <w:rFonts w:ascii="Arial" w:hAnsi="Arial" w:cs="Arial"/>
          <w:b/>
          <w:bCs/>
          <w:sz w:val="20"/>
          <w:szCs w:val="20"/>
          <w:lang w:val="it-IT"/>
        </w:rPr>
        <w:t xml:space="preserve"> sulla sicurezza delle polizze 48</w:t>
      </w:r>
    </w:p>
    <w:p w14:paraId="47255F71" w14:textId="3AE68872" w:rsidR="00E7044E" w:rsidRPr="00656794" w:rsidRDefault="00E7044E" w:rsidP="00015653">
      <w:pPr>
        <w:pStyle w:val="NormalWeb"/>
        <w:spacing w:before="240" w:beforeAutospacing="0" w:after="120" w:afterAutospacing="0"/>
        <w:ind w:left="1043" w:right="175"/>
        <w:jc w:val="both"/>
        <w:rPr>
          <w:rFonts w:ascii="Arial" w:hAnsi="Arial" w:cs="Arial"/>
          <w:b/>
          <w:bCs/>
          <w:sz w:val="22"/>
          <w:szCs w:val="22"/>
          <w:lang w:val="it-IT"/>
        </w:rPr>
      </w:pPr>
      <w:r w:rsidRPr="00656794">
        <w:rPr>
          <w:rFonts w:ascii="Arial" w:hAnsi="Arial" w:cs="Arial"/>
          <w:b/>
          <w:bCs/>
          <w:lang w:val="it-IT"/>
        </w:rPr>
        <w:t xml:space="preserve">8 Valutazione </w:t>
      </w:r>
      <w:r w:rsidR="00AE4256">
        <w:rPr>
          <w:rFonts w:ascii="Arial" w:hAnsi="Arial" w:cs="Arial"/>
          <w:b/>
          <w:bCs/>
          <w:lang w:val="it-IT"/>
        </w:rPr>
        <w:t>dell’Atto</w:t>
      </w:r>
      <w:r w:rsidR="00CE466E">
        <w:rPr>
          <w:rFonts w:ascii="Arial" w:hAnsi="Arial" w:cs="Arial"/>
          <w:b/>
          <w:bCs/>
          <w:lang w:val="it-IT"/>
        </w:rPr>
        <w:t xml:space="preserve"> di </w:t>
      </w:r>
      <w:r w:rsidR="00AE4256">
        <w:rPr>
          <w:rFonts w:ascii="Arial" w:hAnsi="Arial" w:cs="Arial"/>
          <w:b/>
          <w:bCs/>
          <w:lang w:val="it-IT"/>
        </w:rPr>
        <w:t>T</w:t>
      </w:r>
      <w:r w:rsidR="00CE466E">
        <w:rPr>
          <w:rFonts w:ascii="Arial" w:hAnsi="Arial" w:cs="Arial"/>
          <w:b/>
          <w:bCs/>
          <w:lang w:val="it-IT"/>
        </w:rPr>
        <w:t>rasferimento</w:t>
      </w:r>
      <w:r w:rsidRPr="00656794">
        <w:rPr>
          <w:rFonts w:ascii="Arial" w:hAnsi="Arial" w:cs="Arial"/>
          <w:b/>
          <w:bCs/>
          <w:lang w:val="it-IT"/>
        </w:rPr>
        <w:t xml:space="preserve"> sull</w:t>
      </w:r>
      <w:r w:rsidR="00F23A40" w:rsidRPr="00656794">
        <w:rPr>
          <w:rFonts w:ascii="Arial" w:hAnsi="Arial" w:cs="Arial"/>
          <w:b/>
          <w:bCs/>
          <w:lang w:val="it-IT"/>
        </w:rPr>
        <w:t>’</w:t>
      </w:r>
      <w:r w:rsidRPr="00656794">
        <w:rPr>
          <w:rFonts w:ascii="Arial" w:hAnsi="Arial" w:cs="Arial"/>
          <w:b/>
          <w:bCs/>
          <w:lang w:val="it-IT"/>
        </w:rPr>
        <w:t xml:space="preserve">equo trattamento </w:t>
      </w:r>
      <w:r w:rsidR="00DC30A5">
        <w:rPr>
          <w:rFonts w:ascii="Arial" w:hAnsi="Arial" w:cs="Arial"/>
          <w:b/>
          <w:bCs/>
          <w:lang w:val="it-IT"/>
        </w:rPr>
        <w:t>dei</w:t>
      </w:r>
      <w:r w:rsidR="00DC30A5" w:rsidRPr="00656794">
        <w:rPr>
          <w:rFonts w:ascii="Arial" w:hAnsi="Arial" w:cs="Arial"/>
          <w:b/>
          <w:bCs/>
          <w:lang w:val="it-IT"/>
        </w:rPr>
        <w:t xml:space="preserve"> </w:t>
      </w:r>
      <w:r w:rsidR="00DC30A5">
        <w:rPr>
          <w:rFonts w:ascii="Arial" w:hAnsi="Arial" w:cs="Arial"/>
          <w:b/>
          <w:bCs/>
          <w:lang w:val="it-IT"/>
        </w:rPr>
        <w:t>contraenti</w:t>
      </w:r>
      <w:r w:rsidRPr="00656794">
        <w:rPr>
          <w:rFonts w:ascii="Arial" w:hAnsi="Arial" w:cs="Arial"/>
          <w:b/>
          <w:bCs/>
          <w:lang w:val="it-IT"/>
        </w:rPr>
        <w:t xml:space="preserve"> </w:t>
      </w:r>
      <w:r w:rsidRPr="00656794">
        <w:rPr>
          <w:rFonts w:ascii="Arial" w:hAnsi="Arial" w:cs="Arial"/>
          <w:b/>
          <w:bCs/>
          <w:sz w:val="22"/>
          <w:szCs w:val="22"/>
          <w:lang w:val="it-IT"/>
        </w:rPr>
        <w:t xml:space="preserve">50 </w:t>
      </w:r>
    </w:p>
    <w:p w14:paraId="3298F91E"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8.1 Introduzione 50 </w:t>
      </w:r>
    </w:p>
    <w:p w14:paraId="721AF87D" w14:textId="77777777"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 xml:space="preserve">8.2 Considerazioni specifiche 51 </w:t>
      </w:r>
    </w:p>
    <w:p w14:paraId="17EEC41E" w14:textId="020CFECB" w:rsidR="00E7044E" w:rsidRPr="00656794" w:rsidRDefault="00E7044E" w:rsidP="00015653">
      <w:pPr>
        <w:pStyle w:val="NormalWeb"/>
        <w:spacing w:before="240" w:beforeAutospacing="0" w:after="120" w:afterAutospacing="0"/>
        <w:ind w:left="1043" w:right="175"/>
        <w:jc w:val="both"/>
        <w:rPr>
          <w:rFonts w:ascii="Arial" w:hAnsi="Arial" w:cs="Arial"/>
          <w:b/>
          <w:bCs/>
          <w:sz w:val="20"/>
          <w:szCs w:val="20"/>
          <w:lang w:val="it-IT"/>
        </w:rPr>
      </w:pPr>
      <w:r w:rsidRPr="00656794">
        <w:rPr>
          <w:rFonts w:ascii="Arial" w:hAnsi="Arial" w:cs="Arial"/>
          <w:b/>
          <w:bCs/>
          <w:sz w:val="20"/>
          <w:szCs w:val="20"/>
          <w:lang w:val="it-IT"/>
        </w:rPr>
        <w:t>8.3 Conclusione sull</w:t>
      </w:r>
      <w:r w:rsidR="00F23A40" w:rsidRPr="00656794">
        <w:rPr>
          <w:rFonts w:ascii="Arial" w:hAnsi="Arial" w:cs="Arial"/>
          <w:b/>
          <w:bCs/>
          <w:sz w:val="20"/>
          <w:szCs w:val="20"/>
          <w:lang w:val="it-IT"/>
        </w:rPr>
        <w:t>’</w:t>
      </w:r>
      <w:r w:rsidRPr="00656794">
        <w:rPr>
          <w:rFonts w:ascii="Arial" w:hAnsi="Arial" w:cs="Arial"/>
          <w:b/>
          <w:bCs/>
          <w:sz w:val="20"/>
          <w:szCs w:val="20"/>
          <w:lang w:val="it-IT"/>
        </w:rPr>
        <w:t xml:space="preserve">impatto </w:t>
      </w:r>
      <w:r w:rsidR="00AE4256">
        <w:rPr>
          <w:rFonts w:ascii="Arial" w:hAnsi="Arial" w:cs="Arial"/>
          <w:b/>
          <w:bCs/>
          <w:sz w:val="20"/>
          <w:szCs w:val="20"/>
          <w:lang w:val="it-IT"/>
        </w:rPr>
        <w:t>dell’Atto</w:t>
      </w:r>
      <w:r w:rsidR="00CE466E">
        <w:rPr>
          <w:rFonts w:ascii="Arial" w:hAnsi="Arial" w:cs="Arial"/>
          <w:b/>
          <w:bCs/>
          <w:sz w:val="20"/>
          <w:szCs w:val="20"/>
          <w:lang w:val="it-IT"/>
        </w:rPr>
        <w:t xml:space="preserve"> di </w:t>
      </w:r>
      <w:r w:rsidR="00AE4256">
        <w:rPr>
          <w:rFonts w:ascii="Arial" w:hAnsi="Arial" w:cs="Arial"/>
          <w:b/>
          <w:bCs/>
          <w:sz w:val="20"/>
          <w:szCs w:val="20"/>
          <w:lang w:val="it-IT"/>
        </w:rPr>
        <w:t>T</w:t>
      </w:r>
      <w:r w:rsidR="00CE466E">
        <w:rPr>
          <w:rFonts w:ascii="Arial" w:hAnsi="Arial" w:cs="Arial"/>
          <w:b/>
          <w:bCs/>
          <w:sz w:val="20"/>
          <w:szCs w:val="20"/>
          <w:lang w:val="it-IT"/>
        </w:rPr>
        <w:t>rasferimento</w:t>
      </w:r>
      <w:r w:rsidRPr="00656794">
        <w:rPr>
          <w:rFonts w:ascii="Arial" w:hAnsi="Arial" w:cs="Arial"/>
          <w:b/>
          <w:bCs/>
          <w:sz w:val="20"/>
          <w:szCs w:val="20"/>
          <w:lang w:val="it-IT"/>
        </w:rPr>
        <w:t xml:space="preserve"> sull</w:t>
      </w:r>
      <w:r w:rsidR="00F23A40" w:rsidRPr="00656794">
        <w:rPr>
          <w:rFonts w:ascii="Arial" w:hAnsi="Arial" w:cs="Arial"/>
          <w:b/>
          <w:bCs/>
          <w:sz w:val="20"/>
          <w:szCs w:val="20"/>
          <w:lang w:val="it-IT"/>
        </w:rPr>
        <w:t>’</w:t>
      </w:r>
      <w:r w:rsidRPr="00656794">
        <w:rPr>
          <w:rFonts w:ascii="Arial" w:hAnsi="Arial" w:cs="Arial"/>
          <w:b/>
          <w:bCs/>
          <w:sz w:val="20"/>
          <w:szCs w:val="20"/>
          <w:lang w:val="it-IT"/>
        </w:rPr>
        <w:t xml:space="preserve">equo trattamento </w:t>
      </w:r>
      <w:r w:rsidR="00DC30A5">
        <w:rPr>
          <w:rFonts w:ascii="Arial" w:hAnsi="Arial" w:cs="Arial"/>
          <w:b/>
          <w:bCs/>
          <w:sz w:val="20"/>
          <w:szCs w:val="20"/>
          <w:lang w:val="it-IT"/>
        </w:rPr>
        <w:t>dei</w:t>
      </w:r>
      <w:r w:rsidR="00DC30A5" w:rsidRPr="00656794">
        <w:rPr>
          <w:rFonts w:ascii="Arial" w:hAnsi="Arial" w:cs="Arial"/>
          <w:b/>
          <w:bCs/>
          <w:sz w:val="20"/>
          <w:szCs w:val="20"/>
          <w:lang w:val="it-IT"/>
        </w:rPr>
        <w:t xml:space="preserve"> </w:t>
      </w:r>
      <w:r w:rsidR="00DC30A5">
        <w:rPr>
          <w:rFonts w:ascii="Arial" w:hAnsi="Arial" w:cs="Arial"/>
          <w:b/>
          <w:bCs/>
          <w:sz w:val="20"/>
          <w:szCs w:val="20"/>
          <w:lang w:val="it-IT"/>
        </w:rPr>
        <w:t>contraenti</w:t>
      </w:r>
      <w:r w:rsidRPr="00656794">
        <w:rPr>
          <w:rFonts w:ascii="Arial" w:hAnsi="Arial" w:cs="Arial"/>
          <w:b/>
          <w:bCs/>
          <w:sz w:val="20"/>
          <w:szCs w:val="20"/>
          <w:lang w:val="it-IT"/>
        </w:rPr>
        <w:t xml:space="preserve"> 53</w:t>
      </w:r>
    </w:p>
    <w:p w14:paraId="34920D37" w14:textId="77777777" w:rsidR="00015653" w:rsidRPr="00656794" w:rsidRDefault="00015653" w:rsidP="00015653">
      <w:pPr>
        <w:pStyle w:val="NormalWeb"/>
        <w:spacing w:before="240" w:beforeAutospacing="0" w:after="120" w:afterAutospacing="0"/>
        <w:ind w:left="1043" w:right="175"/>
        <w:jc w:val="both"/>
        <w:rPr>
          <w:rFonts w:ascii="Arial" w:hAnsi="Arial" w:cs="Arial"/>
          <w:b/>
          <w:bCs/>
          <w:lang w:val="it-IT"/>
        </w:rPr>
      </w:pPr>
    </w:p>
    <w:p w14:paraId="1AB14BA0" w14:textId="5006EBD4" w:rsidR="00E7044E" w:rsidRPr="00656794" w:rsidRDefault="00E7044E" w:rsidP="00015653">
      <w:pPr>
        <w:pStyle w:val="NormalWeb"/>
        <w:spacing w:before="240" w:beforeAutospacing="0" w:after="0" w:afterAutospacing="0" w:line="360" w:lineRule="auto"/>
        <w:ind w:left="1043" w:right="175"/>
        <w:jc w:val="both"/>
        <w:rPr>
          <w:rFonts w:ascii="Arial" w:hAnsi="Arial" w:cs="Arial"/>
          <w:b/>
          <w:bCs/>
          <w:lang w:val="it-IT"/>
        </w:rPr>
      </w:pPr>
      <w:r w:rsidRPr="00656794">
        <w:rPr>
          <w:rFonts w:ascii="Arial" w:hAnsi="Arial" w:cs="Arial"/>
          <w:b/>
          <w:bCs/>
          <w:lang w:val="it-IT"/>
        </w:rPr>
        <w:t>Allegato 1 Informazioni ricevute 55</w:t>
      </w:r>
    </w:p>
    <w:p w14:paraId="39610E7A" w14:textId="77777777" w:rsidR="00E7044E" w:rsidRPr="00656794" w:rsidRDefault="00E7044E" w:rsidP="00015653">
      <w:pPr>
        <w:pStyle w:val="NormalWeb"/>
        <w:spacing w:before="240" w:beforeAutospacing="0" w:after="0" w:afterAutospacing="0" w:line="360" w:lineRule="auto"/>
        <w:ind w:left="1043" w:right="175"/>
        <w:jc w:val="both"/>
        <w:rPr>
          <w:rFonts w:ascii="Arial" w:hAnsi="Arial" w:cs="Arial"/>
          <w:b/>
          <w:bCs/>
          <w:lang w:val="it-IT"/>
        </w:rPr>
      </w:pPr>
      <w:r w:rsidRPr="00656794">
        <w:rPr>
          <w:rFonts w:ascii="Arial" w:hAnsi="Arial" w:cs="Arial"/>
          <w:b/>
          <w:bCs/>
          <w:lang w:val="it-IT"/>
        </w:rPr>
        <w:t xml:space="preserve">Allegato 2 Ambito della lettera di incarico 57 </w:t>
      </w:r>
    </w:p>
    <w:p w14:paraId="3B7C889E" w14:textId="77777777" w:rsidR="00E7044E" w:rsidRPr="00656794" w:rsidRDefault="00E7044E" w:rsidP="00015653">
      <w:pPr>
        <w:pStyle w:val="NormalWeb"/>
        <w:spacing w:before="240" w:beforeAutospacing="0" w:after="0" w:afterAutospacing="0" w:line="360" w:lineRule="auto"/>
        <w:ind w:left="1043" w:right="175"/>
        <w:jc w:val="both"/>
        <w:rPr>
          <w:rFonts w:ascii="Arial" w:hAnsi="Arial" w:cs="Arial"/>
          <w:b/>
          <w:bCs/>
          <w:lang w:val="it-IT"/>
        </w:rPr>
      </w:pPr>
      <w:r w:rsidRPr="00656794">
        <w:rPr>
          <w:rFonts w:ascii="Arial" w:hAnsi="Arial" w:cs="Arial"/>
          <w:b/>
          <w:bCs/>
          <w:lang w:val="it-IT"/>
        </w:rPr>
        <w:t xml:space="preserve">Allegato 3 CV Attuario indipendente 58 </w:t>
      </w:r>
    </w:p>
    <w:p w14:paraId="00D8C5BB" w14:textId="77777777" w:rsidR="00E7044E" w:rsidRPr="00656794" w:rsidRDefault="00E7044E" w:rsidP="00015653">
      <w:pPr>
        <w:pStyle w:val="NormalWeb"/>
        <w:spacing w:before="240" w:beforeAutospacing="0" w:after="0" w:afterAutospacing="0" w:line="360" w:lineRule="auto"/>
        <w:ind w:left="1043" w:right="175"/>
        <w:jc w:val="both"/>
        <w:rPr>
          <w:rFonts w:ascii="Arial" w:hAnsi="Arial" w:cs="Arial"/>
          <w:b/>
          <w:bCs/>
          <w:lang w:val="it-IT"/>
        </w:rPr>
      </w:pPr>
      <w:r w:rsidRPr="00656794">
        <w:rPr>
          <w:rFonts w:ascii="Arial" w:hAnsi="Arial" w:cs="Arial"/>
          <w:b/>
          <w:bCs/>
          <w:lang w:val="it-IT"/>
        </w:rPr>
        <w:t xml:space="preserve">Allegato 4 PRE 59 </w:t>
      </w:r>
    </w:p>
    <w:p w14:paraId="355D14A9" w14:textId="77777777" w:rsidR="00E7044E" w:rsidRPr="00656794" w:rsidRDefault="00E7044E" w:rsidP="00015653">
      <w:pPr>
        <w:pStyle w:val="NormalWeb"/>
        <w:spacing w:before="240" w:beforeAutospacing="0" w:after="0" w:afterAutospacing="0" w:line="360" w:lineRule="auto"/>
        <w:ind w:left="1043" w:right="175"/>
        <w:jc w:val="both"/>
        <w:rPr>
          <w:rFonts w:ascii="Arial" w:hAnsi="Arial" w:cs="Arial"/>
          <w:b/>
          <w:bCs/>
          <w:lang w:val="it-IT"/>
        </w:rPr>
      </w:pPr>
      <w:r w:rsidRPr="00656794">
        <w:rPr>
          <w:rFonts w:ascii="Arial" w:hAnsi="Arial" w:cs="Arial"/>
          <w:b/>
          <w:bCs/>
          <w:lang w:val="it-IT"/>
        </w:rPr>
        <w:t xml:space="preserve">Allegato 5 Solvency II 60 </w:t>
      </w:r>
    </w:p>
    <w:p w14:paraId="5D9D389D" w14:textId="17265A26" w:rsidR="00E7044E" w:rsidRPr="00656794" w:rsidRDefault="00E7044E" w:rsidP="00015653">
      <w:pPr>
        <w:pStyle w:val="NormalWeb"/>
        <w:spacing w:before="240" w:beforeAutospacing="0" w:after="0" w:afterAutospacing="0" w:line="360" w:lineRule="auto"/>
        <w:ind w:left="1043" w:right="175"/>
        <w:jc w:val="both"/>
        <w:rPr>
          <w:rFonts w:ascii="Arial" w:hAnsi="Arial" w:cs="Arial"/>
          <w:b/>
          <w:bCs/>
          <w:lang w:val="it-IT"/>
        </w:rPr>
      </w:pPr>
      <w:r w:rsidRPr="00656794">
        <w:rPr>
          <w:rFonts w:ascii="Arial" w:hAnsi="Arial" w:cs="Arial"/>
          <w:b/>
          <w:bCs/>
          <w:lang w:val="it-IT"/>
        </w:rPr>
        <w:t>Allegato 6 Glossario 62</w:t>
      </w:r>
    </w:p>
    <w:p w14:paraId="0DF37241" w14:textId="67AAF09B" w:rsidR="00DD24A4" w:rsidRPr="00656794" w:rsidRDefault="00DD24A4" w:rsidP="00015653">
      <w:pPr>
        <w:spacing w:before="120" w:after="0" w:line="360" w:lineRule="auto"/>
        <w:rPr>
          <w:rFonts w:ascii="Arial" w:hAnsi="Arial" w:cs="Arial"/>
          <w:lang w:val="it-IT"/>
        </w:rPr>
      </w:pPr>
    </w:p>
    <w:p w14:paraId="23DD6784" w14:textId="7FD8FA6E" w:rsidR="00DD24A4" w:rsidRPr="00656794" w:rsidRDefault="00DD24A4" w:rsidP="00E7044E">
      <w:pPr>
        <w:spacing w:before="120" w:after="120"/>
        <w:rPr>
          <w:lang w:val="it-IT"/>
        </w:rPr>
      </w:pPr>
    </w:p>
    <w:p w14:paraId="20C24D40" w14:textId="591A570E" w:rsidR="00DD24A4" w:rsidRPr="00656794" w:rsidRDefault="00DD24A4" w:rsidP="00DD24A4">
      <w:pPr>
        <w:rPr>
          <w:lang w:val="it-IT"/>
        </w:rPr>
      </w:pPr>
    </w:p>
    <w:p w14:paraId="628AA6E0" w14:textId="7C30C3B3" w:rsidR="00DD24A4" w:rsidRPr="00656794" w:rsidRDefault="00DD24A4" w:rsidP="00DD24A4">
      <w:pPr>
        <w:rPr>
          <w:lang w:val="it-IT"/>
        </w:rPr>
      </w:pPr>
    </w:p>
    <w:p w14:paraId="6560FA2F" w14:textId="77777777" w:rsidR="003A39F1" w:rsidRPr="00656794" w:rsidRDefault="003A39F1">
      <w:pPr>
        <w:rPr>
          <w:rFonts w:ascii="Arial" w:eastAsia="Times New Roman" w:hAnsi="Arial" w:cs="Arial"/>
          <w:b/>
          <w:bCs/>
          <w:color w:val="00338D"/>
          <w:sz w:val="56"/>
          <w:szCs w:val="56"/>
          <w:lang w:val="it-IT" w:eastAsia="en-IE"/>
        </w:rPr>
      </w:pPr>
      <w:r w:rsidRPr="00656794">
        <w:rPr>
          <w:rFonts w:ascii="Arial" w:hAnsi="Arial" w:cs="Arial"/>
          <w:b/>
          <w:bCs/>
          <w:color w:val="00338D"/>
          <w:sz w:val="56"/>
          <w:szCs w:val="56"/>
          <w:lang w:val="it-IT"/>
        </w:rPr>
        <w:br w:type="page"/>
      </w:r>
    </w:p>
    <w:p w14:paraId="602F3477" w14:textId="26E63871" w:rsidR="00DD24A4" w:rsidRPr="00656794" w:rsidRDefault="00DD24A4" w:rsidP="00DD24A4">
      <w:pPr>
        <w:pStyle w:val="NormalWeb"/>
        <w:spacing w:before="473" w:beforeAutospacing="0" w:after="0" w:afterAutospacing="0"/>
        <w:rPr>
          <w:lang w:val="it-IT"/>
        </w:rPr>
      </w:pPr>
      <w:r w:rsidRPr="00656794">
        <w:rPr>
          <w:rFonts w:ascii="Arial" w:hAnsi="Arial" w:cs="Arial"/>
          <w:b/>
          <w:bCs/>
          <w:color w:val="00338D"/>
          <w:sz w:val="56"/>
          <w:szCs w:val="56"/>
          <w:lang w:val="it-IT"/>
        </w:rPr>
        <w:lastRenderedPageBreak/>
        <w:t xml:space="preserve">1 </w:t>
      </w:r>
      <w:r w:rsidR="00015653" w:rsidRPr="00656794">
        <w:rPr>
          <w:rFonts w:ascii="Arial" w:hAnsi="Arial" w:cs="Arial"/>
          <w:b/>
          <w:bCs/>
          <w:color w:val="00338D"/>
          <w:sz w:val="56"/>
          <w:szCs w:val="56"/>
          <w:lang w:val="it-IT"/>
        </w:rPr>
        <w:t>Premessa</w:t>
      </w:r>
    </w:p>
    <w:p w14:paraId="0DFC9F96" w14:textId="66AE800B" w:rsidR="00DD24A4" w:rsidRPr="00656794" w:rsidRDefault="00DD24A4" w:rsidP="00DD24A4">
      <w:pPr>
        <w:pStyle w:val="NormalWeb"/>
        <w:spacing w:before="509" w:beforeAutospacing="0" w:after="0" w:afterAutospacing="0"/>
        <w:rPr>
          <w:lang w:val="it-IT"/>
        </w:rPr>
      </w:pPr>
      <w:r w:rsidRPr="00656794">
        <w:rPr>
          <w:rFonts w:ascii="Arial" w:hAnsi="Arial" w:cs="Arial"/>
          <w:b/>
          <w:bCs/>
          <w:color w:val="00338D"/>
          <w:sz w:val="28"/>
          <w:szCs w:val="28"/>
          <w:lang w:val="it-IT"/>
        </w:rPr>
        <w:t xml:space="preserve">1.1 </w:t>
      </w:r>
      <w:r w:rsidR="00525C00" w:rsidRPr="00656794">
        <w:rPr>
          <w:rFonts w:ascii="Arial" w:hAnsi="Arial" w:cs="Arial"/>
          <w:b/>
          <w:bCs/>
          <w:color w:val="00338D"/>
          <w:sz w:val="28"/>
          <w:szCs w:val="28"/>
          <w:lang w:val="it-IT"/>
        </w:rPr>
        <w:t>Scopo della relazione</w:t>
      </w:r>
      <w:r w:rsidRPr="00656794">
        <w:rPr>
          <w:rFonts w:ascii="Arial" w:hAnsi="Arial" w:cs="Arial"/>
          <w:b/>
          <w:bCs/>
          <w:color w:val="00338D"/>
          <w:sz w:val="28"/>
          <w:szCs w:val="28"/>
          <w:lang w:val="it-IT"/>
        </w:rPr>
        <w:t> </w:t>
      </w:r>
    </w:p>
    <w:p w14:paraId="0B35692B" w14:textId="6BEDC5FA" w:rsidR="00DD24A4" w:rsidRPr="00656794" w:rsidRDefault="00DD24A4" w:rsidP="00DD24A4">
      <w:pPr>
        <w:pStyle w:val="NormalWeb"/>
        <w:spacing w:before="139" w:after="0"/>
        <w:ind w:right="104"/>
        <w:jc w:val="both"/>
        <w:rPr>
          <w:rFonts w:ascii="Arial" w:hAnsi="Arial" w:cs="Arial"/>
          <w:color w:val="000000"/>
          <w:sz w:val="20"/>
          <w:szCs w:val="20"/>
          <w:lang w:val="it-IT"/>
        </w:rPr>
      </w:pPr>
      <w:r w:rsidRPr="00656794">
        <w:rPr>
          <w:rFonts w:ascii="Arial" w:hAnsi="Arial" w:cs="Arial"/>
          <w:color w:val="000000"/>
          <w:sz w:val="20"/>
          <w:szCs w:val="20"/>
          <w:lang w:val="it-IT"/>
        </w:rPr>
        <w:t>Zurich Life Assurance Plc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ZLAP</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è stata costituita nel marzo 1977 ed è uno dei maggiori </w:t>
      </w:r>
      <w:r w:rsidR="008A0967">
        <w:rPr>
          <w:rFonts w:ascii="Arial" w:hAnsi="Arial" w:cs="Arial"/>
          <w:color w:val="000000"/>
          <w:sz w:val="20"/>
          <w:szCs w:val="20"/>
          <w:lang w:val="it-IT"/>
        </w:rPr>
        <w:t>player assicurativi nel comparto vita</w:t>
      </w:r>
      <w:r w:rsidRPr="00656794">
        <w:rPr>
          <w:rFonts w:ascii="Arial" w:hAnsi="Arial" w:cs="Arial"/>
          <w:color w:val="000000"/>
          <w:sz w:val="20"/>
          <w:szCs w:val="20"/>
          <w:lang w:val="it-IT"/>
        </w:rPr>
        <w:t xml:space="preserve"> in Irlanda. ZLAP è autorizzata a svolgere attività di assicurazione sulla vita </w:t>
      </w:r>
      <w:r w:rsidR="00CB4C9C">
        <w:rPr>
          <w:rFonts w:ascii="Arial" w:hAnsi="Arial" w:cs="Arial"/>
          <w:color w:val="000000"/>
          <w:sz w:val="20"/>
          <w:szCs w:val="20"/>
          <w:lang w:val="it-IT"/>
        </w:rPr>
        <w:t>nei Rami</w:t>
      </w:r>
      <w:r w:rsidRPr="00656794">
        <w:rPr>
          <w:rFonts w:ascii="Arial" w:hAnsi="Arial" w:cs="Arial"/>
          <w:color w:val="000000"/>
          <w:sz w:val="20"/>
          <w:szCs w:val="20"/>
          <w:lang w:val="it-IT"/>
        </w:rPr>
        <w:t xml:space="preserve"> I, II, III, IV, VI e VII. Investimenti, protezione, pensioni e rendite sono le sue principali linee di business in Irlanda. ZLAP ha una </w:t>
      </w:r>
      <w:r w:rsidR="005A3D91">
        <w:rPr>
          <w:rFonts w:ascii="Arial" w:hAnsi="Arial" w:cs="Arial"/>
          <w:color w:val="000000"/>
          <w:sz w:val="20"/>
          <w:szCs w:val="20"/>
          <w:lang w:val="it-IT"/>
        </w:rPr>
        <w:t>branch</w:t>
      </w:r>
      <w:r w:rsidRPr="00656794">
        <w:rPr>
          <w:rFonts w:ascii="Arial" w:hAnsi="Arial" w:cs="Arial"/>
          <w:color w:val="000000"/>
          <w:sz w:val="20"/>
          <w:szCs w:val="20"/>
          <w:lang w:val="it-IT"/>
        </w:rPr>
        <w:t xml:space="preserve"> in Italia attraverso la quale </w:t>
      </w:r>
      <w:r w:rsidR="001006D0">
        <w:rPr>
          <w:rFonts w:ascii="Arial" w:hAnsi="Arial" w:cs="Arial"/>
          <w:color w:val="000000"/>
          <w:sz w:val="20"/>
          <w:szCs w:val="20"/>
          <w:lang w:val="it-IT"/>
        </w:rPr>
        <w:t>vende</w:t>
      </w:r>
      <w:r w:rsidR="001006D0" w:rsidRPr="00656794">
        <w:rPr>
          <w:rFonts w:ascii="Arial" w:hAnsi="Arial" w:cs="Arial"/>
          <w:color w:val="000000"/>
          <w:sz w:val="20"/>
          <w:szCs w:val="20"/>
          <w:lang w:val="it-IT"/>
        </w:rPr>
        <w:t xml:space="preserve"> </w:t>
      </w:r>
      <w:r w:rsidR="001006D0">
        <w:rPr>
          <w:rFonts w:ascii="Arial" w:hAnsi="Arial" w:cs="Arial"/>
          <w:color w:val="000000"/>
          <w:sz w:val="20"/>
          <w:szCs w:val="20"/>
          <w:lang w:val="it-IT"/>
        </w:rPr>
        <w:t>polizze</w:t>
      </w:r>
      <w:r w:rsidR="001006D0"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assicurative sulla vita in </w:t>
      </w:r>
      <w:r w:rsidR="00F02D72">
        <w:rPr>
          <w:rFonts w:ascii="Arial" w:hAnsi="Arial" w:cs="Arial"/>
          <w:color w:val="000000"/>
          <w:sz w:val="20"/>
          <w:szCs w:val="20"/>
          <w:lang w:val="it-IT"/>
        </w:rPr>
        <w:t xml:space="preserve">un regime di </w:t>
      </w:r>
      <w:r w:rsidRPr="00656794">
        <w:rPr>
          <w:rFonts w:ascii="Arial" w:hAnsi="Arial" w:cs="Arial"/>
          <w:color w:val="000000"/>
          <w:sz w:val="20"/>
          <w:szCs w:val="20"/>
          <w:lang w:val="it-IT"/>
        </w:rPr>
        <w:t xml:space="preserve">piena libertà di stabilimento. ZLAP ha anche stipulato </w:t>
      </w:r>
      <w:r w:rsidR="00C2462F">
        <w:rPr>
          <w:rFonts w:ascii="Arial" w:hAnsi="Arial" w:cs="Arial"/>
          <w:color w:val="000000"/>
          <w:sz w:val="20"/>
          <w:szCs w:val="20"/>
          <w:lang w:val="it-IT"/>
        </w:rPr>
        <w:t>contratti</w:t>
      </w:r>
      <w:r w:rsidR="00C2462F"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di assicurazione sulla vita in Germania, Svezia, Spagna e Italia </w:t>
      </w:r>
      <w:r w:rsidR="00F02D72">
        <w:rPr>
          <w:rFonts w:ascii="Arial" w:hAnsi="Arial" w:cs="Arial"/>
          <w:color w:val="000000"/>
          <w:sz w:val="20"/>
          <w:szCs w:val="20"/>
          <w:lang w:val="it-IT"/>
        </w:rPr>
        <w:t xml:space="preserve">in un </w:t>
      </w:r>
      <w:r w:rsidR="00422DB7">
        <w:rPr>
          <w:rFonts w:ascii="Arial" w:hAnsi="Arial" w:cs="Arial"/>
          <w:color w:val="000000"/>
          <w:sz w:val="20"/>
          <w:szCs w:val="20"/>
          <w:lang w:val="it-IT"/>
        </w:rPr>
        <w:t xml:space="preserve">regime di </w:t>
      </w:r>
      <w:r w:rsidR="00AC4CF1">
        <w:rPr>
          <w:rFonts w:ascii="Arial" w:hAnsi="Arial" w:cs="Arial"/>
          <w:color w:val="000000"/>
          <w:sz w:val="20"/>
          <w:szCs w:val="20"/>
          <w:lang w:val="it-IT"/>
        </w:rPr>
        <w:t>libera prestazione di servizi</w:t>
      </w:r>
      <w:r w:rsidRPr="00656794">
        <w:rPr>
          <w:rFonts w:ascii="Arial" w:hAnsi="Arial" w:cs="Arial"/>
          <w:color w:val="000000"/>
          <w:sz w:val="20"/>
          <w:szCs w:val="20"/>
          <w:lang w:val="it-IT"/>
        </w:rPr>
        <w:t xml:space="preserve">. Le </w:t>
      </w:r>
      <w:r w:rsidR="001006D0">
        <w:rPr>
          <w:rFonts w:ascii="Arial" w:hAnsi="Arial" w:cs="Arial"/>
          <w:color w:val="000000"/>
          <w:sz w:val="20"/>
          <w:szCs w:val="20"/>
          <w:lang w:val="it-IT"/>
        </w:rPr>
        <w:t>polizze</w:t>
      </w:r>
      <w:r w:rsidR="001006D0" w:rsidRPr="00656794">
        <w:rPr>
          <w:rFonts w:ascii="Arial" w:hAnsi="Arial" w:cs="Arial"/>
          <w:color w:val="000000"/>
          <w:sz w:val="20"/>
          <w:szCs w:val="20"/>
          <w:lang w:val="it-IT"/>
        </w:rPr>
        <w:t xml:space="preserve"> </w:t>
      </w:r>
      <w:r w:rsidR="001006D0">
        <w:rPr>
          <w:rFonts w:ascii="Arial" w:hAnsi="Arial" w:cs="Arial"/>
          <w:color w:val="000000"/>
          <w:sz w:val="20"/>
          <w:szCs w:val="20"/>
          <w:lang w:val="it-IT"/>
        </w:rPr>
        <w:t>vendute</w:t>
      </w:r>
      <w:r w:rsidR="001006D0"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in queste giurisdizioni </w:t>
      </w:r>
      <w:r w:rsidR="008F1088">
        <w:rPr>
          <w:rFonts w:ascii="Arial" w:hAnsi="Arial" w:cs="Arial"/>
          <w:color w:val="000000"/>
          <w:sz w:val="20"/>
          <w:szCs w:val="20"/>
          <w:lang w:val="it-IT"/>
        </w:rPr>
        <w:t xml:space="preserve">in </w:t>
      </w:r>
      <w:r w:rsidR="00422DB7">
        <w:rPr>
          <w:rFonts w:ascii="Arial" w:hAnsi="Arial" w:cs="Arial"/>
          <w:color w:val="000000"/>
          <w:sz w:val="20"/>
          <w:szCs w:val="20"/>
          <w:lang w:val="it-IT"/>
        </w:rPr>
        <w:t xml:space="preserve">regime di </w:t>
      </w:r>
      <w:r w:rsidR="00AC4CF1">
        <w:rPr>
          <w:rFonts w:ascii="Arial" w:hAnsi="Arial" w:cs="Arial"/>
          <w:color w:val="000000"/>
          <w:sz w:val="20"/>
          <w:szCs w:val="20"/>
          <w:lang w:val="it-IT"/>
        </w:rPr>
        <w:t>libera prestazione di servizi</w:t>
      </w:r>
      <w:r w:rsidRPr="00656794">
        <w:rPr>
          <w:rFonts w:ascii="Arial" w:hAnsi="Arial" w:cs="Arial"/>
          <w:color w:val="000000"/>
          <w:sz w:val="20"/>
          <w:szCs w:val="20"/>
          <w:lang w:val="it-IT"/>
        </w:rPr>
        <w:t xml:space="preserve"> sono, ad eccezione della Germania, chiuse o </w:t>
      </w:r>
      <w:r w:rsidR="005A3D91">
        <w:rPr>
          <w:rFonts w:ascii="Arial" w:hAnsi="Arial" w:cs="Arial"/>
          <w:color w:val="000000"/>
          <w:sz w:val="20"/>
          <w:szCs w:val="20"/>
          <w:lang w:val="it-IT"/>
        </w:rPr>
        <w:t>in procinto di chiusura</w:t>
      </w:r>
      <w:r w:rsidRPr="00656794">
        <w:rPr>
          <w:rFonts w:ascii="Arial" w:hAnsi="Arial" w:cs="Arial"/>
          <w:color w:val="000000"/>
          <w:sz w:val="20"/>
          <w:szCs w:val="20"/>
          <w:lang w:val="it-IT"/>
        </w:rPr>
        <w:t>. Alla fine del 2020, ZLAP aveva un patrimonio totale in gestione superiore a 26 miliardi di euro.</w:t>
      </w:r>
    </w:p>
    <w:p w14:paraId="1B104288" w14:textId="62FED592" w:rsidR="00DD24A4" w:rsidRPr="00656794" w:rsidRDefault="00DD24A4" w:rsidP="00DD24A4">
      <w:pPr>
        <w:pStyle w:val="NormalWeb"/>
        <w:spacing w:before="139" w:after="0"/>
        <w:ind w:right="104"/>
        <w:jc w:val="both"/>
        <w:rPr>
          <w:rFonts w:ascii="Arial" w:hAnsi="Arial" w:cs="Arial"/>
          <w:color w:val="000000"/>
          <w:sz w:val="20"/>
          <w:szCs w:val="20"/>
          <w:lang w:val="it-IT"/>
        </w:rPr>
      </w:pPr>
      <w:r w:rsidRPr="00656794">
        <w:rPr>
          <w:rFonts w:ascii="Arial" w:hAnsi="Arial" w:cs="Arial"/>
          <w:color w:val="000000"/>
          <w:sz w:val="20"/>
          <w:szCs w:val="20"/>
          <w:lang w:val="it-IT"/>
        </w:rPr>
        <w:t>Zurich Investments Life S.p.A.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ZIL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è una compagnia di assicurazioni sulla vita con sede a Milano regolamentata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Istituto per la Vigilanza sulle Assicurazioni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in Italia. Originariamente costituita nel 1952 con il nome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La Minerva Vita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si è evoluta nel tempo fino al 1999</w:t>
      </w:r>
      <w:r w:rsidR="00BE4453">
        <w:rPr>
          <w:rFonts w:ascii="Arial" w:hAnsi="Arial" w:cs="Arial"/>
          <w:color w:val="000000"/>
          <w:sz w:val="20"/>
          <w:szCs w:val="20"/>
          <w:lang w:val="it-IT"/>
        </w:rPr>
        <w:t>,</w:t>
      </w:r>
      <w:r w:rsidRPr="00656794">
        <w:rPr>
          <w:rFonts w:ascii="Arial" w:hAnsi="Arial" w:cs="Arial"/>
          <w:color w:val="000000"/>
          <w:sz w:val="20"/>
          <w:szCs w:val="20"/>
          <w:lang w:val="it-IT"/>
        </w:rPr>
        <w:t xml:space="preserve"> quando è stata ribattezzata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Zurich Investments Life </w:t>
      </w:r>
      <w:r w:rsidR="008A525A" w:rsidRPr="00656794">
        <w:rPr>
          <w:rFonts w:ascii="Arial" w:hAnsi="Arial" w:cs="Arial"/>
          <w:color w:val="000000"/>
          <w:sz w:val="20"/>
          <w:szCs w:val="20"/>
          <w:lang w:val="it-IT"/>
        </w:rPr>
        <w:t>S.p.A.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È autorizzata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a stipulare contratti vita su tutti i rami vita, tra cui:</w:t>
      </w:r>
    </w:p>
    <w:p w14:paraId="59D51FD1" w14:textId="300AEF6E" w:rsidR="00DD24A4" w:rsidRPr="00656794" w:rsidRDefault="00581149" w:rsidP="00DD24A4">
      <w:pPr>
        <w:pStyle w:val="NormalWeb"/>
        <w:numPr>
          <w:ilvl w:val="0"/>
          <w:numId w:val="3"/>
        </w:numPr>
        <w:spacing w:line="360" w:lineRule="auto"/>
        <w:ind w:left="714" w:right="102" w:hanging="357"/>
        <w:jc w:val="both"/>
        <w:rPr>
          <w:rFonts w:ascii="Arial" w:hAnsi="Arial" w:cs="Arial"/>
          <w:color w:val="000000"/>
          <w:sz w:val="20"/>
          <w:szCs w:val="20"/>
          <w:lang w:val="it-IT"/>
        </w:rPr>
      </w:pPr>
      <w:r w:rsidRPr="00656794">
        <w:rPr>
          <w:rFonts w:ascii="Arial" w:hAnsi="Arial" w:cs="Arial"/>
          <w:color w:val="000000"/>
          <w:sz w:val="20"/>
          <w:szCs w:val="20"/>
          <w:lang w:val="it-IT"/>
        </w:rPr>
        <w:t>Ramo</w:t>
      </w:r>
      <w:r w:rsidR="00DD24A4" w:rsidRPr="00656794">
        <w:rPr>
          <w:rFonts w:ascii="Arial" w:hAnsi="Arial" w:cs="Arial"/>
          <w:color w:val="000000"/>
          <w:sz w:val="20"/>
          <w:szCs w:val="20"/>
          <w:lang w:val="it-IT"/>
        </w:rPr>
        <w:t xml:space="preserve"> I: sulla durata della vita umana (es. contratti a termine);</w:t>
      </w:r>
    </w:p>
    <w:p w14:paraId="6032688B" w14:textId="097EE88F" w:rsidR="00DD24A4" w:rsidRPr="00656794" w:rsidRDefault="00DD24A4" w:rsidP="00DD24A4">
      <w:pPr>
        <w:pStyle w:val="NormalWeb"/>
        <w:numPr>
          <w:ilvl w:val="0"/>
          <w:numId w:val="3"/>
        </w:numPr>
        <w:spacing w:line="360" w:lineRule="auto"/>
        <w:ind w:left="714" w:right="102" w:hanging="357"/>
        <w:jc w:val="both"/>
        <w:rPr>
          <w:rFonts w:ascii="Arial" w:hAnsi="Arial" w:cs="Arial"/>
          <w:color w:val="000000"/>
          <w:sz w:val="20"/>
          <w:szCs w:val="20"/>
          <w:lang w:val="it-IT"/>
        </w:rPr>
      </w:pPr>
      <w:r w:rsidRPr="00656794">
        <w:rPr>
          <w:rFonts w:ascii="Arial" w:hAnsi="Arial" w:cs="Arial"/>
          <w:color w:val="000000"/>
          <w:sz w:val="20"/>
          <w:szCs w:val="20"/>
          <w:lang w:val="it-IT"/>
        </w:rPr>
        <w:t>Ramo II: matrimonio, assicurazione sulla nascita;</w:t>
      </w:r>
    </w:p>
    <w:p w14:paraId="08E1919D" w14:textId="473276CD" w:rsidR="00DD24A4" w:rsidRPr="00656794" w:rsidRDefault="00DD24A4" w:rsidP="00DD24A4">
      <w:pPr>
        <w:pStyle w:val="NormalWeb"/>
        <w:numPr>
          <w:ilvl w:val="0"/>
          <w:numId w:val="3"/>
        </w:numPr>
        <w:spacing w:line="360" w:lineRule="auto"/>
        <w:ind w:left="714" w:right="102" w:hanging="357"/>
        <w:jc w:val="both"/>
        <w:rPr>
          <w:rFonts w:ascii="Arial" w:hAnsi="Arial" w:cs="Arial"/>
          <w:color w:val="000000"/>
          <w:sz w:val="20"/>
          <w:szCs w:val="20"/>
          <w:lang w:val="it-IT"/>
        </w:rPr>
      </w:pPr>
      <w:r w:rsidRPr="00656794">
        <w:rPr>
          <w:rFonts w:ascii="Arial" w:hAnsi="Arial" w:cs="Arial"/>
          <w:color w:val="000000"/>
          <w:sz w:val="20"/>
          <w:szCs w:val="20"/>
          <w:lang w:val="it-IT"/>
        </w:rPr>
        <w:t>Ramo III: assicurazione di cui ai rami I e II i cui principali vantaggi sono direttamente collegati al valore (a) delle quote di un OICVM o (b) del patrimonio di un fondo interno o (c) di un indice o altro riferimento valore (es. contratti unit-linked e index linked);</w:t>
      </w:r>
    </w:p>
    <w:p w14:paraId="509BE3D7" w14:textId="6B54B3D3" w:rsidR="00DD24A4" w:rsidRPr="00656794" w:rsidRDefault="00581149" w:rsidP="00DD24A4">
      <w:pPr>
        <w:pStyle w:val="NormalWeb"/>
        <w:numPr>
          <w:ilvl w:val="0"/>
          <w:numId w:val="3"/>
        </w:numPr>
        <w:spacing w:line="360" w:lineRule="auto"/>
        <w:ind w:left="714" w:right="102" w:hanging="357"/>
        <w:jc w:val="both"/>
        <w:rPr>
          <w:rFonts w:ascii="Arial" w:hAnsi="Arial" w:cs="Arial"/>
          <w:color w:val="000000"/>
          <w:sz w:val="20"/>
          <w:szCs w:val="20"/>
          <w:lang w:val="it-IT"/>
        </w:rPr>
      </w:pPr>
      <w:r w:rsidRPr="00656794">
        <w:rPr>
          <w:rFonts w:ascii="Arial" w:hAnsi="Arial" w:cs="Arial"/>
          <w:color w:val="000000"/>
          <w:sz w:val="20"/>
          <w:szCs w:val="20"/>
          <w:lang w:val="it-IT"/>
        </w:rPr>
        <w:t>Ramo</w:t>
      </w:r>
      <w:r w:rsidR="00DD24A4" w:rsidRPr="00656794">
        <w:rPr>
          <w:rFonts w:ascii="Arial" w:hAnsi="Arial" w:cs="Arial"/>
          <w:color w:val="000000"/>
          <w:sz w:val="20"/>
          <w:szCs w:val="20"/>
          <w:lang w:val="it-IT"/>
        </w:rPr>
        <w:t xml:space="preserve"> IV: assicurazione sanitaria (es. contratti di assistenza a lungo termine);</w:t>
      </w:r>
    </w:p>
    <w:p w14:paraId="0780849A" w14:textId="70F51CF7" w:rsidR="00DD24A4" w:rsidRPr="00656794" w:rsidRDefault="00581149" w:rsidP="00DD24A4">
      <w:pPr>
        <w:pStyle w:val="NormalWeb"/>
        <w:numPr>
          <w:ilvl w:val="0"/>
          <w:numId w:val="3"/>
        </w:numPr>
        <w:spacing w:line="360" w:lineRule="auto"/>
        <w:ind w:left="714" w:right="102" w:hanging="357"/>
        <w:jc w:val="both"/>
        <w:rPr>
          <w:rFonts w:ascii="Arial" w:hAnsi="Arial" w:cs="Arial"/>
          <w:color w:val="000000"/>
          <w:sz w:val="20"/>
          <w:szCs w:val="20"/>
          <w:lang w:val="it-IT"/>
        </w:rPr>
      </w:pPr>
      <w:r w:rsidRPr="00656794">
        <w:rPr>
          <w:rFonts w:ascii="Arial" w:hAnsi="Arial" w:cs="Arial"/>
          <w:color w:val="000000"/>
          <w:sz w:val="20"/>
          <w:szCs w:val="20"/>
          <w:lang w:val="it-IT"/>
        </w:rPr>
        <w:t>Ramo</w:t>
      </w:r>
      <w:r w:rsidR="00DD24A4" w:rsidRPr="00656794">
        <w:rPr>
          <w:rFonts w:ascii="Arial" w:hAnsi="Arial" w:cs="Arial"/>
          <w:color w:val="000000"/>
          <w:sz w:val="20"/>
          <w:szCs w:val="20"/>
          <w:lang w:val="it-IT"/>
        </w:rPr>
        <w:t xml:space="preserve"> V: operazioni di capitalizzazione; e</w:t>
      </w:r>
    </w:p>
    <w:p w14:paraId="686BC516" w14:textId="3E5D9EA0" w:rsidR="00DD24A4" w:rsidRPr="00656794" w:rsidRDefault="00DD24A4" w:rsidP="00DD24A4">
      <w:pPr>
        <w:pStyle w:val="NormalWeb"/>
        <w:numPr>
          <w:ilvl w:val="0"/>
          <w:numId w:val="3"/>
        </w:numPr>
        <w:spacing w:line="360" w:lineRule="auto"/>
        <w:ind w:left="714" w:right="102" w:hanging="357"/>
        <w:jc w:val="both"/>
        <w:rPr>
          <w:rFonts w:ascii="Arial" w:hAnsi="Arial" w:cs="Arial"/>
          <w:color w:val="000000"/>
          <w:sz w:val="20"/>
          <w:szCs w:val="20"/>
          <w:lang w:val="it-IT"/>
        </w:rPr>
      </w:pPr>
      <w:r w:rsidRPr="00656794">
        <w:rPr>
          <w:rFonts w:ascii="Arial" w:hAnsi="Arial" w:cs="Arial"/>
          <w:color w:val="000000"/>
          <w:sz w:val="20"/>
          <w:szCs w:val="20"/>
          <w:lang w:val="it-IT"/>
        </w:rPr>
        <w:t>Ramo VI: gestione di fondi pensione collettivi che effettuano pagamenti in caso di morte o sopravvivenza o in caso di cessazione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attività lavorativa (es. fondo pensione).</w:t>
      </w:r>
    </w:p>
    <w:p w14:paraId="0974BF3A" w14:textId="63E865AA" w:rsidR="00DD24A4" w:rsidRPr="00656794" w:rsidRDefault="00DD24A4" w:rsidP="00DD24A4">
      <w:pPr>
        <w:pStyle w:val="NormalWeb"/>
        <w:spacing w:before="139" w:after="0"/>
        <w:ind w:right="104"/>
        <w:jc w:val="both"/>
        <w:rPr>
          <w:rFonts w:ascii="Arial" w:hAnsi="Arial" w:cs="Arial"/>
          <w:color w:val="000000"/>
          <w:sz w:val="20"/>
          <w:szCs w:val="20"/>
          <w:lang w:val="it-IT"/>
        </w:rPr>
      </w:pPr>
      <w:r w:rsidRPr="00656794">
        <w:rPr>
          <w:rFonts w:ascii="Arial" w:hAnsi="Arial" w:cs="Arial"/>
          <w:color w:val="000000"/>
          <w:sz w:val="20"/>
          <w:szCs w:val="20"/>
          <w:lang w:val="it-IT"/>
        </w:rPr>
        <w:t>È controllata al 100% da Zurich Insurance Company Ltd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ZIC</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attraverso la sua </w:t>
      </w:r>
      <w:r w:rsidR="005A3D91">
        <w:rPr>
          <w:rFonts w:ascii="Arial" w:hAnsi="Arial" w:cs="Arial"/>
          <w:color w:val="000000"/>
          <w:sz w:val="20"/>
          <w:szCs w:val="20"/>
          <w:lang w:val="it-IT"/>
        </w:rPr>
        <w:t>branch</w:t>
      </w:r>
      <w:r w:rsidRPr="00656794">
        <w:rPr>
          <w:rFonts w:ascii="Arial" w:hAnsi="Arial" w:cs="Arial"/>
          <w:color w:val="000000"/>
          <w:sz w:val="20"/>
          <w:szCs w:val="20"/>
          <w:lang w:val="it-IT"/>
        </w:rPr>
        <w:t xml:space="preserve"> italiana.</w:t>
      </w:r>
    </w:p>
    <w:p w14:paraId="3E2CAEDE" w14:textId="3AB25C95" w:rsidR="00DD24A4" w:rsidRPr="00656794" w:rsidRDefault="00DD24A4" w:rsidP="00DD24A4">
      <w:pPr>
        <w:pStyle w:val="NormalWeb"/>
        <w:spacing w:before="139" w:after="0"/>
        <w:ind w:right="104"/>
        <w:jc w:val="both"/>
        <w:rPr>
          <w:rFonts w:ascii="Arial" w:hAnsi="Arial" w:cs="Arial"/>
          <w:color w:val="000000"/>
          <w:sz w:val="20"/>
          <w:szCs w:val="20"/>
          <w:lang w:val="it-IT"/>
        </w:rPr>
      </w:pPr>
      <w:r w:rsidRPr="00656794">
        <w:rPr>
          <w:rFonts w:ascii="Arial" w:hAnsi="Arial" w:cs="Arial"/>
          <w:color w:val="000000"/>
          <w:sz w:val="20"/>
          <w:szCs w:val="20"/>
          <w:lang w:val="it-IT"/>
        </w:rPr>
        <w:t>Sia ZLAP che ZIL fanno parte del Zurich Insurance Group SA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ZIG</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ZIG è una società quotata in borsa costituita e domiciliata a Zurigo, Svizzera. Ha una quotazione primaria alla Borsa svizzera SIX con una capitalizzazione di mercato di 57 miliardi di franchi (al 13 aprile 2021). Ha un rating di solidità finanziaria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assicuratore (che rappresenta la capacità di un assicuratore di pagare gli obblighi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di AA/stabile</w:t>
      </w:r>
      <w:r w:rsidR="00581149"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assegnato da Standard &amp; Poors. I rating di Aa3 sono assegnati da Moodys e i rating di A+/stable sono assegnati da AM Best.</w:t>
      </w:r>
    </w:p>
    <w:p w14:paraId="533D4C78" w14:textId="1824AAB1" w:rsidR="00DD24A4" w:rsidRPr="00656794" w:rsidRDefault="00DD24A4" w:rsidP="00DD24A4">
      <w:pPr>
        <w:pStyle w:val="NormalWeb"/>
        <w:spacing w:before="139" w:after="0"/>
        <w:ind w:right="104"/>
        <w:jc w:val="both"/>
        <w:rPr>
          <w:rFonts w:ascii="Arial" w:hAnsi="Arial" w:cs="Arial"/>
          <w:color w:val="000000"/>
          <w:sz w:val="20"/>
          <w:szCs w:val="20"/>
          <w:lang w:val="it-IT"/>
        </w:rPr>
      </w:pPr>
      <w:r w:rsidRPr="00656794">
        <w:rPr>
          <w:rFonts w:ascii="Arial" w:hAnsi="Arial" w:cs="Arial"/>
          <w:color w:val="000000"/>
          <w:sz w:val="20"/>
          <w:szCs w:val="20"/>
          <w:lang w:val="it-IT"/>
        </w:rPr>
        <w:t xml:space="preserve">Il </w:t>
      </w:r>
      <w:r w:rsidR="00580879">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italiano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di ZLAP è composto da due tranche di </w:t>
      </w:r>
      <w:r w:rsidR="00C2462F">
        <w:rPr>
          <w:rFonts w:ascii="Arial" w:hAnsi="Arial" w:cs="Arial"/>
          <w:color w:val="000000"/>
          <w:sz w:val="20"/>
          <w:szCs w:val="20"/>
          <w:lang w:val="it-IT"/>
        </w:rPr>
        <w:t>business</w:t>
      </w:r>
      <w:r w:rsidRPr="00656794">
        <w:rPr>
          <w:rFonts w:ascii="Arial" w:hAnsi="Arial" w:cs="Arial"/>
          <w:color w:val="000000"/>
          <w:sz w:val="20"/>
          <w:szCs w:val="20"/>
          <w:lang w:val="it-IT"/>
        </w:rPr>
        <w:t xml:space="preserve">, una </w:t>
      </w:r>
      <w:r w:rsidR="00A82666">
        <w:rPr>
          <w:rFonts w:ascii="Arial" w:hAnsi="Arial" w:cs="Arial"/>
          <w:color w:val="000000"/>
          <w:sz w:val="20"/>
          <w:szCs w:val="20"/>
          <w:lang w:val="it-IT"/>
        </w:rPr>
        <w:t>venduta</w:t>
      </w:r>
      <w:r w:rsidR="001006D0"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in libertà </w:t>
      </w:r>
      <w:r w:rsidR="001006D0">
        <w:rPr>
          <w:rFonts w:ascii="Arial" w:hAnsi="Arial" w:cs="Arial"/>
          <w:color w:val="000000"/>
          <w:sz w:val="20"/>
          <w:szCs w:val="20"/>
          <w:lang w:val="it-IT"/>
        </w:rPr>
        <w:t xml:space="preserve">di prestazione di servizi </w:t>
      </w:r>
      <w:r w:rsidRPr="00656794">
        <w:rPr>
          <w:rFonts w:ascii="Arial" w:hAnsi="Arial" w:cs="Arial"/>
          <w:color w:val="000000"/>
          <w:sz w:val="20"/>
          <w:szCs w:val="20"/>
          <w:lang w:val="it-IT"/>
        </w:rPr>
        <w:t xml:space="preserve">con fondi in gestione al 30 giugno 2021 di 65 milioni di euro e quella </w:t>
      </w:r>
      <w:r w:rsidR="00A82666">
        <w:rPr>
          <w:rFonts w:ascii="Arial" w:hAnsi="Arial" w:cs="Arial"/>
          <w:color w:val="000000"/>
          <w:sz w:val="20"/>
          <w:szCs w:val="20"/>
          <w:lang w:val="it-IT"/>
        </w:rPr>
        <w:t>venduta</w:t>
      </w:r>
      <w:r w:rsidR="001006D0"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tramite la </w:t>
      </w:r>
      <w:r w:rsidR="005A3D91">
        <w:rPr>
          <w:rFonts w:ascii="Arial" w:hAnsi="Arial" w:cs="Arial"/>
          <w:color w:val="000000"/>
          <w:sz w:val="20"/>
          <w:szCs w:val="20"/>
          <w:lang w:val="it-IT"/>
        </w:rPr>
        <w:t>branch</w:t>
      </w:r>
      <w:r w:rsidRPr="00656794">
        <w:rPr>
          <w:rFonts w:ascii="Arial" w:hAnsi="Arial" w:cs="Arial"/>
          <w:color w:val="000000"/>
          <w:sz w:val="20"/>
          <w:szCs w:val="20"/>
          <w:lang w:val="it-IT"/>
        </w:rPr>
        <w:t xml:space="preserve"> italiana in </w:t>
      </w:r>
      <w:r w:rsidR="001564B8">
        <w:rPr>
          <w:rFonts w:ascii="Arial" w:hAnsi="Arial" w:cs="Arial"/>
          <w:color w:val="000000"/>
          <w:sz w:val="20"/>
          <w:szCs w:val="20"/>
          <w:lang w:val="it-IT"/>
        </w:rPr>
        <w:t xml:space="preserve">regime di </w:t>
      </w:r>
      <w:r w:rsidRPr="00656794">
        <w:rPr>
          <w:rFonts w:ascii="Arial" w:hAnsi="Arial" w:cs="Arial"/>
          <w:color w:val="000000"/>
          <w:sz w:val="20"/>
          <w:szCs w:val="20"/>
          <w:lang w:val="it-IT"/>
        </w:rPr>
        <w:t>libertà di stabilimento con fondi in gestione a</w:t>
      </w:r>
      <w:r w:rsidR="0082789C">
        <w:rPr>
          <w:rFonts w:ascii="Arial" w:hAnsi="Arial" w:cs="Arial"/>
          <w:color w:val="000000"/>
          <w:sz w:val="20"/>
          <w:szCs w:val="20"/>
          <w:lang w:val="it-IT"/>
        </w:rPr>
        <w:t>l</w:t>
      </w:r>
      <w:r w:rsidRPr="00656794">
        <w:rPr>
          <w:rFonts w:ascii="Arial" w:hAnsi="Arial" w:cs="Arial"/>
          <w:color w:val="000000"/>
          <w:sz w:val="20"/>
          <w:szCs w:val="20"/>
          <w:lang w:val="it-IT"/>
        </w:rPr>
        <w:t xml:space="preserve"> 30 giugno 2021 di 1,54 miliardi di euro. Le due tranche sono indicate collettivamente come </w:t>
      </w:r>
      <w:r w:rsidR="00F23A40" w:rsidRPr="00656794">
        <w:rPr>
          <w:rFonts w:ascii="Arial" w:hAnsi="Arial" w:cs="Arial"/>
          <w:color w:val="000000"/>
          <w:sz w:val="20"/>
          <w:szCs w:val="20"/>
          <w:lang w:val="it-IT"/>
        </w:rPr>
        <w:t>“</w:t>
      </w:r>
      <w:r w:rsidR="00580879">
        <w:rPr>
          <w:rFonts w:ascii="Arial" w:hAnsi="Arial" w:cs="Arial"/>
          <w:color w:val="000000"/>
          <w:sz w:val="20"/>
          <w:szCs w:val="20"/>
          <w:lang w:val="it-IT"/>
        </w:rPr>
        <w:t>portafoglio assicurativo italiano unit-linked</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nella mia Relazione.</w:t>
      </w:r>
    </w:p>
    <w:p w14:paraId="5B30E9B7" w14:textId="6616488B" w:rsidR="00DD24A4" w:rsidRPr="00656794" w:rsidRDefault="00DD24A4" w:rsidP="00DD24A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Si propone di trasferire il </w:t>
      </w:r>
      <w:r w:rsidR="00580879">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italiano unit</w:t>
      </w:r>
      <w:r w:rsidR="008A525A" w:rsidRPr="00656794">
        <w:rPr>
          <w:rFonts w:ascii="Arial" w:hAnsi="Arial" w:cs="Arial"/>
          <w:color w:val="000000"/>
          <w:sz w:val="20"/>
          <w:szCs w:val="20"/>
          <w:lang w:val="it-IT"/>
        </w:rPr>
        <w:t>-</w:t>
      </w:r>
      <w:r w:rsidRPr="00656794">
        <w:rPr>
          <w:rFonts w:ascii="Arial" w:hAnsi="Arial" w:cs="Arial"/>
          <w:color w:val="000000"/>
          <w:sz w:val="20"/>
          <w:szCs w:val="20"/>
          <w:lang w:val="it-IT"/>
        </w:rPr>
        <w:t>linked da ZLAP a ZIL mediante trasferimento di portafoglio; la struttura sottostante dell</w:t>
      </w:r>
      <w:r w:rsidR="00F23A40" w:rsidRPr="00656794">
        <w:rPr>
          <w:rFonts w:ascii="Arial" w:hAnsi="Arial" w:cs="Arial"/>
          <w:color w:val="000000"/>
          <w:sz w:val="20"/>
          <w:szCs w:val="20"/>
          <w:lang w:val="it-IT"/>
        </w:rPr>
        <w:t>’</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è un </w:t>
      </w:r>
      <w:r w:rsidR="00A82666">
        <w:rPr>
          <w:rFonts w:ascii="Arial" w:hAnsi="Arial" w:cs="Arial"/>
          <w:color w:val="000000"/>
          <w:sz w:val="20"/>
          <w:szCs w:val="20"/>
          <w:lang w:val="it-IT"/>
        </w:rPr>
        <w:t>conferimento in natura di ramo d’azienda</w:t>
      </w:r>
      <w:r w:rsidR="00A82666"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basato su una valutazione della continuità aziendale, come definita da entrambe le parti coinvolte nell</w:t>
      </w:r>
      <w:r w:rsidR="00F23A40" w:rsidRPr="00656794">
        <w:rPr>
          <w:rFonts w:ascii="Arial" w:hAnsi="Arial" w:cs="Arial"/>
          <w:color w:val="000000"/>
          <w:sz w:val="20"/>
          <w:szCs w:val="20"/>
          <w:lang w:val="it-IT"/>
        </w:rPr>
        <w:t>’</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Per effettuare il trasferimento del portafoglio, è stato proposto che ZLAP trasferisca tutte le passività e le attività di supporto relative alle polizze unit</w:t>
      </w:r>
      <w:r w:rsidR="008A525A"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linked italiane ai sensi delle disposizioni della Sezione 13 </w:t>
      </w:r>
      <w:r w:rsidR="00C42014">
        <w:rPr>
          <w:rFonts w:ascii="Arial" w:hAnsi="Arial" w:cs="Arial"/>
          <w:color w:val="000000"/>
          <w:sz w:val="20"/>
          <w:szCs w:val="20"/>
          <w:lang w:val="it-IT"/>
        </w:rPr>
        <w:t xml:space="preserve">della Legge 1909 delle Imprese di </w:t>
      </w:r>
      <w:r w:rsidR="00C42014">
        <w:rPr>
          <w:rFonts w:ascii="Arial" w:hAnsi="Arial" w:cs="Arial"/>
          <w:color w:val="000000"/>
          <w:sz w:val="20"/>
          <w:szCs w:val="20"/>
          <w:lang w:val="it-IT"/>
        </w:rPr>
        <w:lastRenderedPageBreak/>
        <w:t>Assicurazione</w:t>
      </w:r>
      <w:r w:rsidRPr="00656794">
        <w:rPr>
          <w:rFonts w:ascii="Arial" w:hAnsi="Arial" w:cs="Arial"/>
          <w:color w:val="000000"/>
          <w:sz w:val="20"/>
          <w:szCs w:val="20"/>
          <w:lang w:val="it-IT"/>
        </w:rPr>
        <w:t xml:space="preserve">, della Sezione 36 </w:t>
      </w:r>
      <w:r w:rsidR="00C42014">
        <w:rPr>
          <w:rFonts w:ascii="Arial" w:hAnsi="Arial" w:cs="Arial"/>
          <w:color w:val="000000"/>
          <w:sz w:val="20"/>
          <w:szCs w:val="20"/>
          <w:lang w:val="it-IT"/>
        </w:rPr>
        <w:t>della Legge 1989 sulle Assicurazioni</w:t>
      </w:r>
      <w:r w:rsidRPr="00656794">
        <w:rPr>
          <w:rFonts w:ascii="Arial" w:hAnsi="Arial" w:cs="Arial"/>
          <w:color w:val="000000"/>
          <w:sz w:val="20"/>
          <w:szCs w:val="20"/>
          <w:lang w:val="it-IT"/>
        </w:rPr>
        <w:t xml:space="preserve"> e del Regolamento 41 </w:t>
      </w:r>
      <w:r w:rsidR="00C974C3" w:rsidRPr="00656794">
        <w:rPr>
          <w:rFonts w:ascii="Arial" w:hAnsi="Arial" w:cs="Arial"/>
          <w:color w:val="000000"/>
          <w:sz w:val="20"/>
          <w:szCs w:val="20"/>
          <w:lang w:val="it-IT"/>
        </w:rPr>
        <w:t>del</w:t>
      </w:r>
      <w:r w:rsidRPr="00656794">
        <w:rPr>
          <w:rFonts w:ascii="Arial" w:hAnsi="Arial" w:cs="Arial"/>
          <w:color w:val="000000"/>
          <w:sz w:val="20"/>
          <w:szCs w:val="20"/>
          <w:lang w:val="it-IT"/>
        </w:rPr>
        <w:t xml:space="preserve"> Regolamento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Unione Europea (Assicurazioni e Riassicurazioni) 2015 (SI n. 485/2015). Mi riferisco alla proposta di trasferimento del portafoglio come proposta di </w:t>
      </w:r>
      <w:r w:rsidR="00F23A40" w:rsidRPr="00656794">
        <w:rPr>
          <w:rFonts w:ascii="Arial" w:hAnsi="Arial" w:cs="Arial"/>
          <w:color w:val="000000"/>
          <w:sz w:val="20"/>
          <w:szCs w:val="20"/>
          <w:lang w:val="it-IT"/>
        </w:rPr>
        <w:t>“</w:t>
      </w:r>
      <w:r w:rsidR="00AE4256">
        <w:rPr>
          <w:rFonts w:ascii="Arial" w:hAnsi="Arial" w:cs="Arial"/>
          <w:color w:val="000000"/>
          <w:sz w:val="20"/>
          <w:szCs w:val="20"/>
          <w:lang w:val="it-IT"/>
        </w:rPr>
        <w:t>Atto di Trasferimento</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La presente Relazione riguarda </w:t>
      </w:r>
      <w:r w:rsidR="00757DE6" w:rsidRPr="00656794">
        <w:rPr>
          <w:rFonts w:ascii="Arial" w:hAnsi="Arial" w:cs="Arial"/>
          <w:color w:val="000000"/>
          <w:sz w:val="20"/>
          <w:szCs w:val="20"/>
          <w:lang w:val="it-IT"/>
        </w:rPr>
        <w:t xml:space="preserve">il </w:t>
      </w:r>
      <w:r w:rsidR="0082789C">
        <w:rPr>
          <w:rFonts w:ascii="Arial" w:hAnsi="Arial" w:cs="Arial"/>
          <w:color w:val="000000"/>
          <w:sz w:val="20"/>
          <w:szCs w:val="20"/>
          <w:lang w:val="it-IT"/>
        </w:rPr>
        <w:t>Trasferimento</w:t>
      </w:r>
      <w:r w:rsidR="0082789C"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proposto. ZLAP e ZIL sono indicati collettivamente come le </w:t>
      </w:r>
      <w:r w:rsidR="00F23A40" w:rsidRPr="00656794">
        <w:rPr>
          <w:rFonts w:ascii="Arial" w:hAnsi="Arial" w:cs="Arial"/>
          <w:color w:val="000000"/>
          <w:sz w:val="20"/>
          <w:szCs w:val="20"/>
          <w:lang w:val="it-IT"/>
        </w:rPr>
        <w:t>“</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in tutt</w:t>
      </w:r>
      <w:r w:rsidR="005B7BBB" w:rsidRPr="00656794">
        <w:rPr>
          <w:rFonts w:ascii="Arial" w:hAnsi="Arial" w:cs="Arial"/>
          <w:color w:val="000000"/>
          <w:sz w:val="20"/>
          <w:szCs w:val="20"/>
          <w:lang w:val="it-IT"/>
        </w:rPr>
        <w:t>a</w:t>
      </w:r>
      <w:r w:rsidRPr="00656794">
        <w:rPr>
          <w:rFonts w:ascii="Arial" w:hAnsi="Arial" w:cs="Arial"/>
          <w:color w:val="000000"/>
          <w:sz w:val="20"/>
          <w:szCs w:val="20"/>
          <w:lang w:val="it-IT"/>
        </w:rPr>
        <w:t xml:space="preserve"> </w:t>
      </w:r>
      <w:r w:rsidR="005B7BBB" w:rsidRPr="00656794">
        <w:rPr>
          <w:rFonts w:ascii="Arial" w:hAnsi="Arial" w:cs="Arial"/>
          <w:color w:val="000000"/>
          <w:sz w:val="20"/>
          <w:szCs w:val="20"/>
          <w:lang w:val="it-IT"/>
        </w:rPr>
        <w:t>l</w:t>
      </w:r>
      <w:r w:rsidR="00525C00" w:rsidRPr="00656794">
        <w:rPr>
          <w:rFonts w:ascii="Arial" w:hAnsi="Arial" w:cs="Arial"/>
          <w:color w:val="000000"/>
          <w:sz w:val="20"/>
          <w:szCs w:val="20"/>
          <w:lang w:val="it-IT"/>
        </w:rPr>
        <w:t>a presente</w:t>
      </w:r>
      <w:r w:rsidRPr="00656794">
        <w:rPr>
          <w:rFonts w:ascii="Arial" w:hAnsi="Arial" w:cs="Arial"/>
          <w:color w:val="000000"/>
          <w:sz w:val="20"/>
          <w:szCs w:val="20"/>
          <w:lang w:val="it-IT"/>
        </w:rPr>
        <w:t xml:space="preserv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I termini relativi al trasferimento proposto sono stabiliti nel</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che sarà presentato all</w:t>
      </w:r>
      <w:r w:rsidR="00F23A40" w:rsidRPr="00656794">
        <w:rPr>
          <w:rFonts w:ascii="Arial" w:hAnsi="Arial" w:cs="Arial"/>
          <w:color w:val="000000"/>
          <w:sz w:val="20"/>
          <w:szCs w:val="20"/>
          <w:lang w:val="it-IT"/>
        </w:rPr>
        <w:t>’</w:t>
      </w:r>
      <w:r w:rsidR="00B9172D">
        <w:rPr>
          <w:rFonts w:ascii="Arial" w:hAnsi="Arial" w:cs="Arial"/>
          <w:color w:val="000000"/>
          <w:sz w:val="20"/>
          <w:szCs w:val="20"/>
          <w:lang w:val="it-IT"/>
        </w:rPr>
        <w:t>High Court of Ireland</w:t>
      </w:r>
      <w:r w:rsidRPr="00656794">
        <w:rPr>
          <w:rFonts w:ascii="Arial" w:hAnsi="Arial" w:cs="Arial"/>
          <w:color w:val="000000"/>
          <w:sz w:val="20"/>
          <w:szCs w:val="20"/>
          <w:lang w:val="it-IT"/>
        </w:rPr>
        <w:t>. Si prevede che verranno richieste indicazioni alla High Court in relazione a</w:t>
      </w:r>
      <w:r w:rsidR="00757DE6" w:rsidRPr="00656794">
        <w:rPr>
          <w:rFonts w:ascii="Arial" w:hAnsi="Arial" w:cs="Arial"/>
          <w:color w:val="000000"/>
          <w:sz w:val="20"/>
          <w:szCs w:val="20"/>
          <w:lang w:val="it-IT"/>
        </w:rPr>
        <w:t>l</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nel gennaio 2022. Si propone 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udienza per </w:t>
      </w:r>
      <w:r w:rsidR="00DC30A5">
        <w:rPr>
          <w:rFonts w:ascii="Arial" w:hAnsi="Arial" w:cs="Arial"/>
          <w:color w:val="000000"/>
          <w:sz w:val="20"/>
          <w:szCs w:val="20"/>
          <w:lang w:val="it-IT"/>
        </w:rPr>
        <w:t>l’approvazione del</w:t>
      </w:r>
      <w:r w:rsidRPr="00656794">
        <w:rPr>
          <w:rFonts w:ascii="Arial" w:hAnsi="Arial" w:cs="Arial"/>
          <w:color w:val="000000"/>
          <w:sz w:val="20"/>
          <w:szCs w:val="20"/>
          <w:lang w:val="it-IT"/>
        </w:rPr>
        <w:t xml:space="preserve"> </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si svolgerà nel maggio 2022, quando sarà richiesta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approvazione d</w:t>
      </w:r>
      <w:r w:rsidR="005B7BBB" w:rsidRPr="00656794">
        <w:rPr>
          <w:rFonts w:ascii="Arial" w:hAnsi="Arial" w:cs="Arial"/>
          <w:color w:val="000000"/>
          <w:sz w:val="20"/>
          <w:szCs w:val="20"/>
          <w:lang w:val="it-IT"/>
        </w:rPr>
        <w:t>e</w:t>
      </w:r>
      <w:r w:rsidR="00757DE6" w:rsidRPr="00656794">
        <w:rPr>
          <w:rFonts w:ascii="Arial" w:hAnsi="Arial" w:cs="Arial"/>
          <w:color w:val="000000"/>
          <w:sz w:val="20"/>
          <w:szCs w:val="20"/>
          <w:lang w:val="it-IT"/>
        </w:rPr>
        <w:t>l</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con una </w:t>
      </w:r>
      <w:r w:rsidR="008F75FD">
        <w:rPr>
          <w:rFonts w:ascii="Arial" w:hAnsi="Arial" w:cs="Arial"/>
          <w:color w:val="000000"/>
          <w:sz w:val="20"/>
          <w:szCs w:val="20"/>
          <w:lang w:val="it-IT"/>
        </w:rPr>
        <w:t>data effettiva proposta</w:t>
      </w:r>
      <w:r w:rsidRPr="00656794">
        <w:rPr>
          <w:rFonts w:ascii="Arial" w:hAnsi="Arial" w:cs="Arial"/>
          <w:color w:val="000000"/>
          <w:sz w:val="20"/>
          <w:szCs w:val="20"/>
          <w:lang w:val="it-IT"/>
        </w:rPr>
        <w:t xml:space="preserve"> </w:t>
      </w:r>
      <w:r w:rsidR="008F75FD">
        <w:rPr>
          <w:rFonts w:ascii="Arial" w:hAnsi="Arial" w:cs="Arial"/>
          <w:color w:val="000000"/>
          <w:sz w:val="20"/>
          <w:szCs w:val="20"/>
          <w:lang w:val="it-IT"/>
        </w:rPr>
        <w:t>a</w:t>
      </w:r>
      <w:r w:rsidRPr="00656794">
        <w:rPr>
          <w:rFonts w:ascii="Arial" w:hAnsi="Arial" w:cs="Arial"/>
          <w:color w:val="000000"/>
          <w:sz w:val="20"/>
          <w:szCs w:val="20"/>
          <w:lang w:val="it-IT"/>
        </w:rPr>
        <w:t xml:space="preserve">l </w:t>
      </w:r>
      <w:r w:rsidR="00C974C3" w:rsidRPr="00656794">
        <w:rPr>
          <w:rFonts w:ascii="Arial" w:hAnsi="Arial" w:cs="Arial"/>
          <w:color w:val="000000"/>
          <w:sz w:val="20"/>
          <w:szCs w:val="20"/>
          <w:lang w:val="it-IT"/>
        </w:rPr>
        <w:t>1° luglio</w:t>
      </w:r>
      <w:r w:rsidRPr="00656794">
        <w:rPr>
          <w:rFonts w:ascii="Arial" w:hAnsi="Arial" w:cs="Arial"/>
          <w:color w:val="000000"/>
          <w:sz w:val="20"/>
          <w:szCs w:val="20"/>
          <w:lang w:val="it-IT"/>
        </w:rPr>
        <w:t xml:space="preserve"> 2022 (la </w:t>
      </w:r>
      <w:r w:rsidR="00F23A40" w:rsidRPr="00656794">
        <w:rPr>
          <w:rFonts w:ascii="Arial" w:hAnsi="Arial" w:cs="Arial"/>
          <w:color w:val="000000"/>
          <w:sz w:val="20"/>
          <w:szCs w:val="20"/>
          <w:lang w:val="it-IT"/>
        </w:rPr>
        <w:t>“</w:t>
      </w:r>
      <w:r w:rsidR="00DB4C55">
        <w:rPr>
          <w:rFonts w:ascii="Arial" w:hAnsi="Arial" w:cs="Arial"/>
          <w:color w:val="000000"/>
          <w:sz w:val="20"/>
          <w:szCs w:val="20"/>
          <w:lang w:val="it-IT"/>
        </w:rPr>
        <w:t>Data di trasferimento effettiva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w:t>
      </w:r>
    </w:p>
    <w:p w14:paraId="7E83047E" w14:textId="17D6ACC8" w:rsidR="00DD24A4" w:rsidRPr="00656794" w:rsidRDefault="00DD24A4" w:rsidP="00DD24A4">
      <w:pPr>
        <w:pStyle w:val="NormalWeb"/>
        <w:spacing w:before="139" w:after="0"/>
        <w:ind w:right="104"/>
        <w:jc w:val="both"/>
        <w:rPr>
          <w:rFonts w:ascii="Arial" w:hAnsi="Arial" w:cs="Arial"/>
          <w:color w:val="000000"/>
          <w:sz w:val="20"/>
          <w:szCs w:val="20"/>
          <w:lang w:val="it-IT"/>
        </w:rPr>
      </w:pPr>
      <w:r w:rsidRPr="00656794">
        <w:rPr>
          <w:rFonts w:ascii="Arial" w:hAnsi="Arial" w:cs="Arial"/>
          <w:color w:val="000000"/>
          <w:sz w:val="20"/>
          <w:szCs w:val="20"/>
          <w:lang w:val="it-IT"/>
        </w:rPr>
        <w:t xml:space="preserve">La presente Relazione (la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Relazione</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è una relazione predisposta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Attuario Indipendente al fine di coadiuvare l</w:t>
      </w:r>
      <w:r w:rsidR="00F23A40" w:rsidRPr="00656794">
        <w:rPr>
          <w:rFonts w:ascii="Arial" w:hAnsi="Arial" w:cs="Arial"/>
          <w:color w:val="000000"/>
          <w:sz w:val="20"/>
          <w:szCs w:val="20"/>
          <w:lang w:val="it-IT"/>
        </w:rPr>
        <w:t>’</w:t>
      </w:r>
      <w:r w:rsidR="00B9172D">
        <w:rPr>
          <w:rFonts w:ascii="Arial" w:hAnsi="Arial" w:cs="Arial"/>
          <w:color w:val="000000"/>
          <w:sz w:val="20"/>
          <w:szCs w:val="20"/>
          <w:lang w:val="it-IT"/>
        </w:rPr>
        <w:t>High Court of Ireland</w:t>
      </w:r>
      <w:r w:rsidRPr="00656794">
        <w:rPr>
          <w:rFonts w:ascii="Arial" w:hAnsi="Arial" w:cs="Arial"/>
          <w:color w:val="000000"/>
          <w:sz w:val="20"/>
          <w:szCs w:val="20"/>
          <w:lang w:val="it-IT"/>
        </w:rPr>
        <w:t xml:space="preserve"> nelle sue deliberazioni.</w:t>
      </w:r>
    </w:p>
    <w:p w14:paraId="03504F03" w14:textId="69F09EFD" w:rsidR="00DD24A4" w:rsidRPr="00656794" w:rsidRDefault="00525C00" w:rsidP="00DD24A4">
      <w:pPr>
        <w:pStyle w:val="NormalWeb"/>
        <w:spacing w:before="139" w:after="0"/>
        <w:ind w:right="104"/>
        <w:jc w:val="both"/>
        <w:rPr>
          <w:rFonts w:ascii="Arial" w:hAnsi="Arial" w:cs="Arial"/>
          <w:color w:val="000000"/>
          <w:sz w:val="20"/>
          <w:szCs w:val="20"/>
          <w:lang w:val="it-IT"/>
        </w:rPr>
      </w:pPr>
      <w:r w:rsidRPr="00656794">
        <w:rPr>
          <w:rFonts w:ascii="Arial" w:hAnsi="Arial" w:cs="Arial"/>
          <w:color w:val="000000"/>
          <w:sz w:val="20"/>
          <w:szCs w:val="20"/>
          <w:lang w:val="it-IT"/>
        </w:rPr>
        <w:t>La Relazione</w:t>
      </w:r>
      <w:r w:rsidR="00DD24A4" w:rsidRPr="00656794">
        <w:rPr>
          <w:rFonts w:ascii="Arial" w:hAnsi="Arial" w:cs="Arial"/>
          <w:color w:val="000000"/>
          <w:sz w:val="20"/>
          <w:szCs w:val="20"/>
          <w:lang w:val="it-IT"/>
        </w:rPr>
        <w:t xml:space="preserve"> descrive il trasferimento proposto e discute il suo potenziale impatto sui gruppi di </w:t>
      </w:r>
      <w:r w:rsidR="00DC30A5">
        <w:rPr>
          <w:rFonts w:ascii="Arial" w:hAnsi="Arial" w:cs="Arial"/>
          <w:color w:val="000000"/>
          <w:sz w:val="20"/>
          <w:szCs w:val="20"/>
          <w:lang w:val="it-IT"/>
        </w:rPr>
        <w:t>contraenti</w:t>
      </w:r>
      <w:r w:rsidR="008A0967">
        <w:rPr>
          <w:rFonts w:ascii="Arial" w:hAnsi="Arial" w:cs="Arial"/>
          <w:color w:val="000000"/>
          <w:sz w:val="20"/>
          <w:szCs w:val="20"/>
          <w:lang w:val="it-IT"/>
        </w:rPr>
        <w:t xml:space="preserve"> in perimetro per il trasferimento</w:t>
      </w:r>
      <w:r w:rsidR="00DD24A4" w:rsidRPr="00656794">
        <w:rPr>
          <w:rFonts w:ascii="Arial" w:hAnsi="Arial" w:cs="Arial"/>
          <w:color w:val="000000"/>
          <w:sz w:val="20"/>
          <w:szCs w:val="20"/>
          <w:lang w:val="it-IT"/>
        </w:rPr>
        <w:t xml:space="preserve"> all</w:t>
      </w:r>
      <w:r w:rsidR="00F23A40" w:rsidRPr="00656794">
        <w:rPr>
          <w:rFonts w:ascii="Arial" w:hAnsi="Arial" w:cs="Arial"/>
          <w:color w:val="000000"/>
          <w:sz w:val="20"/>
          <w:szCs w:val="20"/>
          <w:lang w:val="it-IT"/>
        </w:rPr>
        <w:t>’</w:t>
      </w:r>
      <w:r w:rsidR="00DD24A4" w:rsidRPr="00656794">
        <w:rPr>
          <w:rFonts w:ascii="Arial" w:hAnsi="Arial" w:cs="Arial"/>
          <w:color w:val="000000"/>
          <w:sz w:val="20"/>
          <w:szCs w:val="20"/>
          <w:lang w:val="it-IT"/>
        </w:rPr>
        <w:t xml:space="preserve">interno di ZLAP e ZIL, in particolare in termini di sicurezza dei benefici e livelli di servizio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DD24A4"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La Relazione</w:t>
      </w:r>
      <w:r w:rsidR="00DD24A4" w:rsidRPr="00656794">
        <w:rPr>
          <w:rFonts w:ascii="Arial" w:hAnsi="Arial" w:cs="Arial"/>
          <w:color w:val="000000"/>
          <w:sz w:val="20"/>
          <w:szCs w:val="20"/>
          <w:lang w:val="it-IT"/>
        </w:rPr>
        <w:t xml:space="preserve"> è organizzat</w:t>
      </w:r>
      <w:r w:rsidR="005B7BBB" w:rsidRPr="00656794">
        <w:rPr>
          <w:rFonts w:ascii="Arial" w:hAnsi="Arial" w:cs="Arial"/>
          <w:color w:val="000000"/>
          <w:sz w:val="20"/>
          <w:szCs w:val="20"/>
          <w:lang w:val="it-IT"/>
        </w:rPr>
        <w:t>a</w:t>
      </w:r>
      <w:r w:rsidR="00DD24A4" w:rsidRPr="00656794">
        <w:rPr>
          <w:rFonts w:ascii="Arial" w:hAnsi="Arial" w:cs="Arial"/>
          <w:color w:val="000000"/>
          <w:sz w:val="20"/>
          <w:szCs w:val="20"/>
          <w:lang w:val="it-IT"/>
        </w:rPr>
        <w:t xml:space="preserve"> in 8 sezioni come segue:</w:t>
      </w:r>
    </w:p>
    <w:p w14:paraId="7B91EB90" w14:textId="61562B86" w:rsidR="00DD24A4" w:rsidRPr="00656794" w:rsidRDefault="00DD24A4" w:rsidP="00DD24A4">
      <w:pPr>
        <w:pStyle w:val="NormalWeb"/>
        <w:numPr>
          <w:ilvl w:val="0"/>
          <w:numId w:val="2"/>
        </w:numPr>
        <w:spacing w:line="360" w:lineRule="auto"/>
        <w:ind w:left="714" w:right="102" w:hanging="357"/>
        <w:jc w:val="both"/>
        <w:rPr>
          <w:rFonts w:ascii="Arial" w:hAnsi="Arial" w:cs="Arial"/>
          <w:color w:val="000000"/>
          <w:sz w:val="20"/>
          <w:szCs w:val="20"/>
          <w:lang w:val="it-IT"/>
        </w:rPr>
      </w:pPr>
      <w:r w:rsidRPr="00656794">
        <w:rPr>
          <w:rFonts w:ascii="Arial" w:hAnsi="Arial" w:cs="Arial"/>
          <w:color w:val="000000"/>
          <w:sz w:val="20"/>
          <w:szCs w:val="20"/>
          <w:lang w:val="it-IT"/>
        </w:rPr>
        <w:t>Sezione 1: Descrive le finalità della Relazione e il ruolo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Attuario Indipendente; </w:t>
      </w:r>
    </w:p>
    <w:p w14:paraId="3AF3D5AC" w14:textId="79743E96" w:rsidR="00DD24A4" w:rsidRPr="00656794" w:rsidRDefault="00DD24A4" w:rsidP="00DD24A4">
      <w:pPr>
        <w:pStyle w:val="NormalWeb"/>
        <w:numPr>
          <w:ilvl w:val="0"/>
          <w:numId w:val="2"/>
        </w:numPr>
        <w:spacing w:line="360" w:lineRule="auto"/>
        <w:ind w:left="714" w:right="102" w:hanging="357"/>
        <w:jc w:val="both"/>
        <w:rPr>
          <w:rFonts w:ascii="Arial" w:hAnsi="Arial" w:cs="Arial"/>
          <w:color w:val="000000"/>
          <w:sz w:val="20"/>
          <w:szCs w:val="20"/>
          <w:lang w:val="it-IT"/>
        </w:rPr>
      </w:pPr>
      <w:r w:rsidRPr="00656794">
        <w:rPr>
          <w:rFonts w:ascii="Arial" w:hAnsi="Arial" w:cs="Arial"/>
          <w:color w:val="000000"/>
          <w:sz w:val="20"/>
          <w:szCs w:val="20"/>
          <w:lang w:val="it-IT"/>
        </w:rPr>
        <w:t>Sezione 2: Riepilogo esecutivo e conclusioni;</w:t>
      </w:r>
    </w:p>
    <w:p w14:paraId="3758E813" w14:textId="2B3ABD69" w:rsidR="00DD24A4" w:rsidRPr="00656794" w:rsidRDefault="00DD24A4" w:rsidP="00DD24A4">
      <w:pPr>
        <w:pStyle w:val="NormalWeb"/>
        <w:numPr>
          <w:ilvl w:val="0"/>
          <w:numId w:val="2"/>
        </w:numPr>
        <w:spacing w:line="360" w:lineRule="auto"/>
        <w:ind w:left="714" w:right="102" w:hanging="357"/>
        <w:jc w:val="both"/>
        <w:rPr>
          <w:rFonts w:ascii="Arial" w:hAnsi="Arial" w:cs="Arial"/>
          <w:color w:val="000000"/>
          <w:sz w:val="20"/>
          <w:szCs w:val="20"/>
          <w:lang w:val="it-IT"/>
        </w:rPr>
      </w:pPr>
      <w:r w:rsidRPr="00656794">
        <w:rPr>
          <w:rFonts w:ascii="Arial" w:hAnsi="Arial" w:cs="Arial"/>
          <w:color w:val="000000"/>
          <w:sz w:val="20"/>
          <w:szCs w:val="20"/>
          <w:lang w:val="it-IT"/>
        </w:rPr>
        <w:t>Sezione 3: fornisce informazioni di base rilevanti su ZIL;</w:t>
      </w:r>
    </w:p>
    <w:p w14:paraId="68CC0168" w14:textId="0473FA0F" w:rsidR="00DD24A4" w:rsidRPr="00656794" w:rsidRDefault="00DD24A4" w:rsidP="00DD24A4">
      <w:pPr>
        <w:pStyle w:val="NormalWeb"/>
        <w:numPr>
          <w:ilvl w:val="0"/>
          <w:numId w:val="2"/>
        </w:numPr>
        <w:spacing w:line="360" w:lineRule="auto"/>
        <w:ind w:left="714" w:right="102" w:hanging="357"/>
        <w:jc w:val="both"/>
        <w:rPr>
          <w:rFonts w:ascii="Arial" w:hAnsi="Arial" w:cs="Arial"/>
          <w:color w:val="000000"/>
          <w:sz w:val="20"/>
          <w:szCs w:val="20"/>
          <w:lang w:val="it-IT"/>
        </w:rPr>
      </w:pPr>
      <w:r w:rsidRPr="00656794">
        <w:rPr>
          <w:rFonts w:ascii="Arial" w:hAnsi="Arial" w:cs="Arial"/>
          <w:color w:val="000000"/>
          <w:sz w:val="20"/>
          <w:szCs w:val="20"/>
          <w:lang w:val="it-IT"/>
        </w:rPr>
        <w:t>Sezione 4: fornisce informazioni di base rilevanti su ZLAP;</w:t>
      </w:r>
    </w:p>
    <w:p w14:paraId="1AE78649" w14:textId="3BAE0A72" w:rsidR="00DD24A4" w:rsidRPr="00656794" w:rsidRDefault="00DD24A4" w:rsidP="00DD24A4">
      <w:pPr>
        <w:pStyle w:val="NormalWeb"/>
        <w:numPr>
          <w:ilvl w:val="0"/>
          <w:numId w:val="2"/>
        </w:numPr>
        <w:spacing w:line="360" w:lineRule="auto"/>
        <w:ind w:left="714" w:right="102" w:hanging="357"/>
        <w:jc w:val="both"/>
        <w:rPr>
          <w:rFonts w:ascii="Arial" w:hAnsi="Arial" w:cs="Arial"/>
          <w:color w:val="000000"/>
          <w:sz w:val="20"/>
          <w:szCs w:val="20"/>
          <w:lang w:val="it-IT"/>
        </w:rPr>
      </w:pPr>
      <w:r w:rsidRPr="00656794">
        <w:rPr>
          <w:rFonts w:ascii="Arial" w:hAnsi="Arial" w:cs="Arial"/>
          <w:color w:val="000000"/>
          <w:sz w:val="20"/>
          <w:szCs w:val="20"/>
          <w:lang w:val="it-IT"/>
        </w:rPr>
        <w:t>Sezione 5: Commento a</w:t>
      </w:r>
      <w:r w:rsidR="00757DE6" w:rsidRPr="00656794">
        <w:rPr>
          <w:rFonts w:ascii="Arial" w:hAnsi="Arial" w:cs="Arial"/>
          <w:color w:val="000000"/>
          <w:sz w:val="20"/>
          <w:szCs w:val="20"/>
          <w:lang w:val="it-IT"/>
        </w:rPr>
        <w:t>l</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CE466E">
        <w:rPr>
          <w:rFonts w:ascii="Arial" w:hAnsi="Arial" w:cs="Arial"/>
          <w:color w:val="000000"/>
          <w:sz w:val="20"/>
          <w:szCs w:val="20"/>
          <w:lang w:val="it-IT"/>
        </w:rPr>
        <w:t xml:space="preserve"> </w:t>
      </w:r>
      <w:r w:rsidRPr="00656794">
        <w:rPr>
          <w:rFonts w:ascii="Arial" w:hAnsi="Arial" w:cs="Arial"/>
          <w:color w:val="000000"/>
          <w:sz w:val="20"/>
          <w:szCs w:val="20"/>
          <w:lang w:val="it-IT"/>
        </w:rPr>
        <w:t>proposto</w:t>
      </w:r>
    </w:p>
    <w:p w14:paraId="0872BAD5" w14:textId="35CB9889" w:rsidR="00DD24A4" w:rsidRPr="00656794" w:rsidRDefault="00DD24A4" w:rsidP="00DD24A4">
      <w:pPr>
        <w:pStyle w:val="NormalWeb"/>
        <w:numPr>
          <w:ilvl w:val="0"/>
          <w:numId w:val="2"/>
        </w:numPr>
        <w:spacing w:line="360" w:lineRule="auto"/>
        <w:ind w:left="714" w:right="102" w:hanging="357"/>
        <w:jc w:val="both"/>
        <w:rPr>
          <w:rFonts w:ascii="Arial" w:hAnsi="Arial" w:cs="Arial"/>
          <w:color w:val="000000"/>
          <w:sz w:val="20"/>
          <w:szCs w:val="20"/>
          <w:lang w:val="it-IT"/>
        </w:rPr>
      </w:pPr>
      <w:r w:rsidRPr="00656794">
        <w:rPr>
          <w:rFonts w:ascii="Arial" w:hAnsi="Arial" w:cs="Arial"/>
          <w:color w:val="000000"/>
          <w:sz w:val="20"/>
          <w:szCs w:val="20"/>
          <w:lang w:val="it-IT"/>
        </w:rPr>
        <w:t>Sezione 6: Descrive le considerazioni generali in sede di revisione del</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proposto;</w:t>
      </w:r>
    </w:p>
    <w:p w14:paraId="486944FC" w14:textId="34A8BE78" w:rsidR="00DD24A4" w:rsidRPr="00656794" w:rsidRDefault="00DD24A4" w:rsidP="00DD24A4">
      <w:pPr>
        <w:pStyle w:val="NormalWeb"/>
        <w:numPr>
          <w:ilvl w:val="0"/>
          <w:numId w:val="2"/>
        </w:numPr>
        <w:spacing w:line="360" w:lineRule="auto"/>
        <w:ind w:left="714" w:right="102" w:hanging="357"/>
        <w:jc w:val="both"/>
        <w:rPr>
          <w:rFonts w:ascii="Arial" w:hAnsi="Arial" w:cs="Arial"/>
          <w:color w:val="000000"/>
          <w:sz w:val="20"/>
          <w:szCs w:val="20"/>
          <w:lang w:val="it-IT"/>
        </w:rPr>
      </w:pPr>
      <w:r w:rsidRPr="00656794">
        <w:rPr>
          <w:rFonts w:ascii="Arial" w:hAnsi="Arial" w:cs="Arial"/>
          <w:sz w:val="20"/>
          <w:szCs w:val="20"/>
          <w:lang w:val="it-IT"/>
        </w:rPr>
        <w:t>Sezione 7: Una valutazione del</w:t>
      </w:r>
      <w:r w:rsidR="007B453C">
        <w:rPr>
          <w:rFonts w:ascii="Arial" w:hAnsi="Arial" w:cs="Arial"/>
          <w:sz w:val="20"/>
          <w:szCs w:val="20"/>
          <w:lang w:val="it-IT"/>
        </w:rPr>
        <w:t>l’</w:t>
      </w:r>
      <w:r w:rsidR="00AE4256">
        <w:rPr>
          <w:rFonts w:ascii="Arial" w:hAnsi="Arial" w:cs="Arial"/>
          <w:sz w:val="20"/>
          <w:szCs w:val="20"/>
          <w:lang w:val="it-IT"/>
        </w:rPr>
        <w:t>Atto di Trasferimento</w:t>
      </w:r>
      <w:r w:rsidRPr="00656794">
        <w:rPr>
          <w:rFonts w:ascii="Arial" w:hAnsi="Arial" w:cs="Arial"/>
          <w:sz w:val="20"/>
          <w:szCs w:val="20"/>
          <w:lang w:val="it-IT"/>
        </w:rPr>
        <w:t xml:space="preserve"> proposto sulla sicurezza per </w:t>
      </w:r>
      <w:r w:rsidR="00DC30A5">
        <w:rPr>
          <w:rFonts w:ascii="Arial" w:hAnsi="Arial" w:cs="Arial"/>
          <w:sz w:val="20"/>
          <w:szCs w:val="20"/>
          <w:lang w:val="it-IT"/>
        </w:rPr>
        <w:t>i</w:t>
      </w:r>
      <w:r w:rsidR="00DC30A5" w:rsidRPr="00656794">
        <w:rPr>
          <w:rFonts w:ascii="Arial" w:hAnsi="Arial" w:cs="Arial"/>
          <w:sz w:val="20"/>
          <w:szCs w:val="20"/>
          <w:lang w:val="it-IT"/>
        </w:rPr>
        <w:t xml:space="preserve"> </w:t>
      </w:r>
      <w:r w:rsidR="00DC30A5">
        <w:rPr>
          <w:rFonts w:ascii="Arial" w:hAnsi="Arial" w:cs="Arial"/>
          <w:sz w:val="20"/>
          <w:szCs w:val="20"/>
          <w:lang w:val="it-IT"/>
        </w:rPr>
        <w:t>contraenti</w:t>
      </w:r>
      <w:r w:rsidRPr="00656794">
        <w:rPr>
          <w:rFonts w:ascii="Arial" w:hAnsi="Arial" w:cs="Arial"/>
          <w:sz w:val="20"/>
          <w:szCs w:val="20"/>
          <w:lang w:val="it-IT"/>
        </w:rPr>
        <w:t xml:space="preserve"> di ZLAP e ZIL</w:t>
      </w:r>
    </w:p>
    <w:p w14:paraId="75BFE68D" w14:textId="111C0334" w:rsidR="00DD24A4" w:rsidRPr="00656794" w:rsidRDefault="00DD24A4" w:rsidP="00DD24A4">
      <w:pPr>
        <w:pStyle w:val="NormalWeb"/>
        <w:numPr>
          <w:ilvl w:val="0"/>
          <w:numId w:val="2"/>
        </w:numPr>
        <w:spacing w:line="360" w:lineRule="auto"/>
        <w:ind w:left="714" w:right="102" w:hanging="357"/>
        <w:jc w:val="both"/>
        <w:rPr>
          <w:rFonts w:ascii="Arial" w:hAnsi="Arial" w:cs="Arial"/>
          <w:color w:val="000000"/>
          <w:sz w:val="20"/>
          <w:szCs w:val="20"/>
          <w:lang w:val="it-IT"/>
        </w:rPr>
      </w:pPr>
      <w:r w:rsidRPr="00656794">
        <w:rPr>
          <w:rFonts w:ascii="Arial" w:hAnsi="Arial" w:cs="Arial"/>
          <w:sz w:val="20"/>
          <w:szCs w:val="20"/>
          <w:lang w:val="it-IT"/>
        </w:rPr>
        <w:t>Sezione 8: Una valutazione del</w:t>
      </w:r>
      <w:r w:rsidR="007B453C">
        <w:rPr>
          <w:rFonts w:ascii="Arial" w:hAnsi="Arial" w:cs="Arial"/>
          <w:sz w:val="20"/>
          <w:szCs w:val="20"/>
          <w:lang w:val="it-IT"/>
        </w:rPr>
        <w:t>l’</w:t>
      </w:r>
      <w:r w:rsidR="00AE4256">
        <w:rPr>
          <w:rFonts w:ascii="Arial" w:hAnsi="Arial" w:cs="Arial"/>
          <w:sz w:val="20"/>
          <w:szCs w:val="20"/>
          <w:lang w:val="it-IT"/>
        </w:rPr>
        <w:t>Atto di Trasferimento</w:t>
      </w:r>
      <w:r w:rsidRPr="00656794">
        <w:rPr>
          <w:rFonts w:ascii="Arial" w:hAnsi="Arial" w:cs="Arial"/>
          <w:sz w:val="20"/>
          <w:szCs w:val="20"/>
          <w:lang w:val="it-IT"/>
        </w:rPr>
        <w:t xml:space="preserve"> proposto sull</w:t>
      </w:r>
      <w:r w:rsidR="00F23A40" w:rsidRPr="00656794">
        <w:rPr>
          <w:rFonts w:ascii="Arial" w:hAnsi="Arial" w:cs="Arial"/>
          <w:sz w:val="20"/>
          <w:szCs w:val="20"/>
          <w:lang w:val="it-IT"/>
        </w:rPr>
        <w:t>’</w:t>
      </w:r>
      <w:r w:rsidRPr="00656794">
        <w:rPr>
          <w:rFonts w:ascii="Arial" w:hAnsi="Arial" w:cs="Arial"/>
          <w:sz w:val="20"/>
          <w:szCs w:val="20"/>
          <w:lang w:val="it-IT"/>
        </w:rPr>
        <w:t xml:space="preserve">equo trattamento </w:t>
      </w:r>
      <w:r w:rsidR="00DC30A5">
        <w:rPr>
          <w:rFonts w:ascii="Arial" w:hAnsi="Arial" w:cs="Arial"/>
          <w:sz w:val="20"/>
          <w:szCs w:val="20"/>
          <w:lang w:val="it-IT"/>
        </w:rPr>
        <w:t>dei</w:t>
      </w:r>
      <w:r w:rsidR="00DC30A5" w:rsidRPr="00656794">
        <w:rPr>
          <w:rFonts w:ascii="Arial" w:hAnsi="Arial" w:cs="Arial"/>
          <w:sz w:val="20"/>
          <w:szCs w:val="20"/>
          <w:lang w:val="it-IT"/>
        </w:rPr>
        <w:t xml:space="preserve"> </w:t>
      </w:r>
      <w:r w:rsidR="00DC30A5">
        <w:rPr>
          <w:rFonts w:ascii="Arial" w:hAnsi="Arial" w:cs="Arial"/>
          <w:sz w:val="20"/>
          <w:szCs w:val="20"/>
          <w:lang w:val="it-IT"/>
        </w:rPr>
        <w:t>contraenti</w:t>
      </w:r>
      <w:r w:rsidRPr="00656794">
        <w:rPr>
          <w:rFonts w:ascii="Arial" w:hAnsi="Arial" w:cs="Arial"/>
          <w:sz w:val="20"/>
          <w:szCs w:val="20"/>
          <w:lang w:val="it-IT"/>
        </w:rPr>
        <w:t xml:space="preserve"> di ZLAP e ZIL</w:t>
      </w:r>
      <w:r w:rsidRPr="00656794">
        <w:rPr>
          <w:lang w:val="it-IT"/>
        </w:rPr>
        <w:t>.</w:t>
      </w:r>
    </w:p>
    <w:p w14:paraId="317BDBF9" w14:textId="68AA88F4" w:rsidR="00DD24A4" w:rsidRPr="00656794" w:rsidRDefault="00DD24A4" w:rsidP="00DD24A4">
      <w:pPr>
        <w:pStyle w:val="NormalWeb"/>
        <w:spacing w:before="280" w:beforeAutospacing="0" w:after="0" w:afterAutospacing="0"/>
        <w:rPr>
          <w:lang w:val="it-IT"/>
        </w:rPr>
      </w:pPr>
      <w:r w:rsidRPr="00656794">
        <w:rPr>
          <w:rFonts w:ascii="Arial" w:hAnsi="Arial" w:cs="Arial"/>
          <w:b/>
          <w:bCs/>
          <w:color w:val="00338D"/>
          <w:sz w:val="28"/>
          <w:szCs w:val="28"/>
          <w:lang w:val="it-IT"/>
        </w:rPr>
        <w:t xml:space="preserve">1.2 </w:t>
      </w:r>
      <w:r w:rsidR="00525C00" w:rsidRPr="00656794">
        <w:rPr>
          <w:rFonts w:ascii="Arial" w:hAnsi="Arial" w:cs="Arial"/>
          <w:b/>
          <w:bCs/>
          <w:color w:val="00338D"/>
          <w:sz w:val="28"/>
          <w:szCs w:val="28"/>
          <w:lang w:val="it-IT"/>
        </w:rPr>
        <w:t>Attuario indipendente</w:t>
      </w:r>
      <w:r w:rsidRPr="00656794">
        <w:rPr>
          <w:rFonts w:ascii="Arial" w:hAnsi="Arial" w:cs="Arial"/>
          <w:b/>
          <w:bCs/>
          <w:color w:val="00338D"/>
          <w:sz w:val="28"/>
          <w:szCs w:val="28"/>
          <w:lang w:val="it-IT"/>
        </w:rPr>
        <w:t> </w:t>
      </w:r>
    </w:p>
    <w:p w14:paraId="7061A20E" w14:textId="1F1C29BF" w:rsidR="00DD24A4" w:rsidRPr="00656794" w:rsidRDefault="00DD24A4" w:rsidP="00DD24A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Io, Brian Morrissey, sono un partner di KPMG Ireland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KPMG</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specializzato in servizi attuariali di assicurazioni sulla vita. Sono un Fellow della Society of Actuaries in Ireland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SAI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avendo conseguito la qualifica di attuario nel 1999. Il mio curriculum vitae riassuntivo è incluso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Appendice 3.</w:t>
      </w:r>
    </w:p>
    <w:p w14:paraId="6C92DC82" w14:textId="5910EAD1" w:rsidR="00DD24A4" w:rsidRPr="00656794" w:rsidRDefault="00DD24A4" w:rsidP="00DD24A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Sono stato incaricato da ZLAP e ZIL di agire in qualità di Attuario Indipendente in relazione al</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Il CBI è stato informato della mia nomina e mi risulta che non abbia sollevato obiezioni alla mia nomina. I termini in cui sono stato formalmente nominato sono stabiliti in una lettera di incarico datata 18 febbraio 2021 e un estratto del mio ambito è incluso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Appendice 2.</w:t>
      </w:r>
    </w:p>
    <w:p w14:paraId="592256F2" w14:textId="0A090539" w:rsidR="00DD24A4" w:rsidRPr="00656794" w:rsidRDefault="00DD24A4" w:rsidP="00DD24A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In termini di interessi diretti e indiretti, posso confermare di avere polizze pensionistiche con ZLAP attraverso vari accordi relativi al datore di lavoro tramite KPMG e che non ho interessi diretti o indiretti con ZIL. Non ritengo che 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xml:space="preserve"> pensionistiche ZLAP creino un conflitto in termini di tali interessi e mi ritengo in grado di agire come Attuario Indipendente </w:t>
      </w:r>
      <w:r w:rsidR="00C2462F">
        <w:rPr>
          <w:rFonts w:ascii="Arial" w:hAnsi="Arial" w:cs="Arial"/>
          <w:color w:val="000000"/>
          <w:sz w:val="20"/>
          <w:szCs w:val="20"/>
          <w:lang w:val="it-IT"/>
        </w:rPr>
        <w:t>per</w:t>
      </w:r>
      <w:r w:rsidR="00C2462F"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quest</w:t>
      </w:r>
      <w:r w:rsidR="00A82666">
        <w:rPr>
          <w:rFonts w:ascii="Arial" w:hAnsi="Arial" w:cs="Arial"/>
          <w:color w:val="000000"/>
          <w:sz w:val="20"/>
          <w:szCs w:val="20"/>
          <w:lang w:val="it-IT"/>
        </w:rPr>
        <w:t>o</w:t>
      </w:r>
      <w:r w:rsidRPr="00656794">
        <w:rPr>
          <w:rFonts w:ascii="Arial" w:hAnsi="Arial" w:cs="Arial"/>
          <w:color w:val="000000"/>
          <w:sz w:val="20"/>
          <w:szCs w:val="20"/>
          <w:lang w:val="it-IT"/>
        </w:rPr>
        <w:t xml:space="preserve"> </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156E552A" w14:textId="77777777" w:rsidR="00DD24A4" w:rsidRPr="00656794" w:rsidRDefault="00DD24A4" w:rsidP="00DD24A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Ho anche considerato la posizione di KPMG. Posso confermare di aver effettuato controlli interni appropriati in linea con le procedure interne di gestione del rischio di KPMG senza che siano stati sollevati problemi.</w:t>
      </w:r>
    </w:p>
    <w:p w14:paraId="44C5D82A" w14:textId="171A13FB" w:rsidR="00DD24A4" w:rsidRPr="00656794" w:rsidRDefault="00DD24A4" w:rsidP="00DD24A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Né io, né alcun membro del mio team, siamo un avvocato qualificato o un esperto fiscale. Non ho ritenuto necessario richiedere la mia specifica consulenza legale o fiscale su alcun elemento del</w:t>
      </w:r>
      <w:r w:rsidR="007B453C">
        <w:rPr>
          <w:rFonts w:ascii="Arial" w:hAnsi="Arial" w:cs="Arial"/>
          <w:color w:val="000000"/>
          <w:sz w:val="20"/>
          <w:szCs w:val="20"/>
          <w:lang w:val="it-IT"/>
        </w:rPr>
        <w:t>l’</w:t>
      </w:r>
      <w:r w:rsidRPr="00656794">
        <w:rPr>
          <w:rFonts w:ascii="Arial" w:hAnsi="Arial" w:cs="Arial"/>
          <w:color w:val="000000"/>
          <w:sz w:val="20"/>
          <w:szCs w:val="20"/>
          <w:lang w:val="it-IT"/>
        </w:rPr>
        <w:t xml:space="preserve"> </w:t>
      </w:r>
      <w:r w:rsidR="00AE4256">
        <w:rPr>
          <w:rFonts w:ascii="Arial" w:hAnsi="Arial" w:cs="Arial"/>
          <w:color w:val="000000"/>
          <w:sz w:val="20"/>
          <w:szCs w:val="20"/>
          <w:lang w:val="it-IT"/>
        </w:rPr>
        <w:t xml:space="preserve">Atto </w:t>
      </w:r>
      <w:r w:rsidR="00AE4256">
        <w:rPr>
          <w:rFonts w:ascii="Arial" w:hAnsi="Arial" w:cs="Arial"/>
          <w:color w:val="000000"/>
          <w:sz w:val="20"/>
          <w:szCs w:val="20"/>
          <w:lang w:val="it-IT"/>
        </w:rPr>
        <w:lastRenderedPageBreak/>
        <w:t>di Trasferimento</w:t>
      </w:r>
      <w:r w:rsidRPr="00656794">
        <w:rPr>
          <w:rFonts w:ascii="Arial" w:hAnsi="Arial" w:cs="Arial"/>
          <w:color w:val="000000"/>
          <w:sz w:val="20"/>
          <w:szCs w:val="20"/>
          <w:lang w:val="it-IT"/>
        </w:rPr>
        <w:t xml:space="preserve">. I costi e le spese associati alla mia nomina ad Attuario Indipendente e alla </w:t>
      </w:r>
      <w:r w:rsidR="00C2462F">
        <w:rPr>
          <w:rFonts w:ascii="Arial" w:hAnsi="Arial" w:cs="Arial"/>
          <w:color w:val="000000"/>
          <w:sz w:val="20"/>
          <w:szCs w:val="20"/>
          <w:lang w:val="it-IT"/>
        </w:rPr>
        <w:t>reda</w:t>
      </w:r>
      <w:r w:rsidR="00C2462F" w:rsidRPr="00656794">
        <w:rPr>
          <w:rFonts w:ascii="Arial" w:hAnsi="Arial" w:cs="Arial"/>
          <w:color w:val="000000"/>
          <w:sz w:val="20"/>
          <w:szCs w:val="20"/>
          <w:lang w:val="it-IT"/>
        </w:rPr>
        <w:t xml:space="preserve">zione </w:t>
      </w:r>
      <w:r w:rsidR="008A0967">
        <w:rPr>
          <w:rFonts w:ascii="Arial" w:hAnsi="Arial" w:cs="Arial"/>
          <w:color w:val="000000"/>
          <w:sz w:val="20"/>
          <w:szCs w:val="20"/>
          <w:lang w:val="it-IT"/>
        </w:rPr>
        <w:t>di questa</w:t>
      </w:r>
      <w:r w:rsidR="008A0967" w:rsidRPr="00656794">
        <w:rPr>
          <w:rFonts w:ascii="Arial" w:hAnsi="Arial" w:cs="Arial"/>
          <w:color w:val="000000"/>
          <w:sz w:val="20"/>
          <w:szCs w:val="20"/>
          <w:lang w:val="it-IT"/>
        </w:rPr>
        <w:t xml:space="preserv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xml:space="preserve"> saranno sostenuti dagli azionisti di ZLAP e dagli azionisti di ZIL.</w:t>
      </w:r>
    </w:p>
    <w:p w14:paraId="7CFF1D71" w14:textId="740DBA28" w:rsidR="00DD24A4" w:rsidRPr="00656794" w:rsidRDefault="00525C00" w:rsidP="00DD24A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presente</w:t>
      </w:r>
      <w:r w:rsidR="00DD24A4"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Relazione</w:t>
      </w:r>
      <w:r w:rsidR="00DD24A4" w:rsidRPr="00656794">
        <w:rPr>
          <w:rFonts w:ascii="Arial" w:hAnsi="Arial" w:cs="Arial"/>
          <w:color w:val="000000"/>
          <w:sz w:val="20"/>
          <w:szCs w:val="20"/>
          <w:lang w:val="it-IT"/>
        </w:rPr>
        <w:t xml:space="preserve"> è stat</w:t>
      </w:r>
      <w:r w:rsidR="008A0967">
        <w:rPr>
          <w:rFonts w:ascii="Arial" w:hAnsi="Arial" w:cs="Arial"/>
          <w:color w:val="000000"/>
          <w:sz w:val="20"/>
          <w:szCs w:val="20"/>
          <w:lang w:val="it-IT"/>
        </w:rPr>
        <w:t>a</w:t>
      </w:r>
      <w:r w:rsidR="00DD24A4" w:rsidRPr="00656794">
        <w:rPr>
          <w:rFonts w:ascii="Arial" w:hAnsi="Arial" w:cs="Arial"/>
          <w:color w:val="000000"/>
          <w:sz w:val="20"/>
          <w:szCs w:val="20"/>
          <w:lang w:val="it-IT"/>
        </w:rPr>
        <w:t xml:space="preserve"> oggetto di processi interni di gestione del rischio di KPMG e di revisione paritaria in linea con tali requisiti professionali. La revisione tra pari è stata eseguita da un attuario senior nella pratica attuariale di KPMG.</w:t>
      </w:r>
    </w:p>
    <w:p w14:paraId="2D142E5E" w14:textId="068E29F7" w:rsidR="00DD24A4" w:rsidRPr="00656794" w:rsidRDefault="00DD24A4" w:rsidP="00DD24A4">
      <w:pPr>
        <w:pStyle w:val="NormalWeb"/>
        <w:spacing w:before="281" w:beforeAutospacing="0" w:after="0" w:afterAutospacing="0"/>
        <w:rPr>
          <w:lang w:val="it-IT"/>
        </w:rPr>
      </w:pPr>
      <w:r w:rsidRPr="00656794">
        <w:rPr>
          <w:rFonts w:ascii="Arial" w:hAnsi="Arial" w:cs="Arial"/>
          <w:b/>
          <w:bCs/>
          <w:color w:val="00338D"/>
          <w:sz w:val="28"/>
          <w:szCs w:val="28"/>
          <w:lang w:val="it-IT"/>
        </w:rPr>
        <w:t xml:space="preserve">1.3 </w:t>
      </w:r>
      <w:r w:rsidR="00525C00" w:rsidRPr="00656794">
        <w:rPr>
          <w:rFonts w:ascii="Arial" w:hAnsi="Arial" w:cs="Arial"/>
          <w:b/>
          <w:bCs/>
          <w:color w:val="00338D"/>
          <w:sz w:val="28"/>
          <w:szCs w:val="28"/>
          <w:lang w:val="it-IT"/>
        </w:rPr>
        <w:t>Perimetro della Relazione</w:t>
      </w:r>
      <w:r w:rsidRPr="00656794">
        <w:rPr>
          <w:rFonts w:ascii="Arial" w:hAnsi="Arial" w:cs="Arial"/>
          <w:b/>
          <w:bCs/>
          <w:color w:val="00338D"/>
          <w:sz w:val="28"/>
          <w:szCs w:val="28"/>
          <w:lang w:val="it-IT"/>
        </w:rPr>
        <w:t> </w:t>
      </w:r>
    </w:p>
    <w:p w14:paraId="3A6FEE83" w14:textId="6F0A1D78" w:rsidR="00DD24A4" w:rsidRPr="00656794" w:rsidRDefault="00DD24A4" w:rsidP="00DD24A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Ho un dovere imperativo nei confronti della Corte e di fornire alla Corte</w:t>
      </w:r>
      <w:r w:rsidR="00D97EEF">
        <w:rPr>
          <w:rFonts w:ascii="Arial" w:hAnsi="Arial" w:cs="Arial"/>
          <w:color w:val="000000"/>
          <w:sz w:val="20"/>
          <w:szCs w:val="20"/>
          <w:lang w:val="it-IT"/>
        </w:rPr>
        <w:t xml:space="preserve"> stessa</w:t>
      </w:r>
      <w:r w:rsidRPr="00656794">
        <w:rPr>
          <w:rFonts w:ascii="Arial" w:hAnsi="Arial" w:cs="Arial"/>
          <w:color w:val="000000"/>
          <w:sz w:val="20"/>
          <w:szCs w:val="20"/>
          <w:lang w:val="it-IT"/>
        </w:rPr>
        <w:t xml:space="preserve"> una valutazione attuariale indipendente del trasferimento proposto.</w:t>
      </w:r>
    </w:p>
    <w:p w14:paraId="731DE92F" w14:textId="566344ED" w:rsidR="00DD24A4" w:rsidRPr="00656794" w:rsidRDefault="00525C00" w:rsidP="00DD24A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w:t>
      </w:r>
      <w:r w:rsidR="00DD24A4" w:rsidRPr="00656794">
        <w:rPr>
          <w:rFonts w:ascii="Arial" w:hAnsi="Arial" w:cs="Arial"/>
          <w:color w:val="000000"/>
          <w:sz w:val="20"/>
          <w:szCs w:val="20"/>
          <w:lang w:val="it-IT"/>
        </w:rPr>
        <w:t xml:space="preserve"> presente </w:t>
      </w:r>
      <w:r w:rsidRPr="00656794">
        <w:rPr>
          <w:rFonts w:ascii="Arial" w:hAnsi="Arial" w:cs="Arial"/>
          <w:color w:val="000000"/>
          <w:sz w:val="20"/>
          <w:szCs w:val="20"/>
          <w:lang w:val="it-IT"/>
        </w:rPr>
        <w:t>Relazione</w:t>
      </w:r>
      <w:r w:rsidR="00DD24A4" w:rsidRPr="00656794">
        <w:rPr>
          <w:rFonts w:ascii="Arial" w:hAnsi="Arial" w:cs="Arial"/>
          <w:color w:val="000000"/>
          <w:sz w:val="20"/>
          <w:szCs w:val="20"/>
          <w:lang w:val="it-IT"/>
        </w:rPr>
        <w:t xml:space="preserve"> è stat</w:t>
      </w:r>
      <w:r w:rsidRPr="00656794">
        <w:rPr>
          <w:rFonts w:ascii="Arial" w:hAnsi="Arial" w:cs="Arial"/>
          <w:color w:val="000000"/>
          <w:sz w:val="20"/>
          <w:szCs w:val="20"/>
          <w:lang w:val="it-IT"/>
        </w:rPr>
        <w:t>a</w:t>
      </w:r>
      <w:r w:rsidR="00DD24A4" w:rsidRPr="00656794">
        <w:rPr>
          <w:rFonts w:ascii="Arial" w:hAnsi="Arial" w:cs="Arial"/>
          <w:color w:val="000000"/>
          <w:sz w:val="20"/>
          <w:szCs w:val="20"/>
          <w:lang w:val="it-IT"/>
        </w:rPr>
        <w:t xml:space="preserve"> redatt</w:t>
      </w:r>
      <w:r w:rsidRPr="00656794">
        <w:rPr>
          <w:rFonts w:ascii="Arial" w:hAnsi="Arial" w:cs="Arial"/>
          <w:color w:val="000000"/>
          <w:sz w:val="20"/>
          <w:szCs w:val="20"/>
          <w:lang w:val="it-IT"/>
        </w:rPr>
        <w:t>a</w:t>
      </w:r>
      <w:r w:rsidR="00DD24A4" w:rsidRPr="00656794">
        <w:rPr>
          <w:rFonts w:ascii="Arial" w:hAnsi="Arial" w:cs="Arial"/>
          <w:color w:val="000000"/>
          <w:sz w:val="20"/>
          <w:szCs w:val="20"/>
          <w:lang w:val="it-IT"/>
        </w:rPr>
        <w:t xml:space="preserve"> in conformità a:</w:t>
      </w:r>
    </w:p>
    <w:p w14:paraId="109D8625" w14:textId="305D4C7F" w:rsidR="005B7BBB" w:rsidRPr="00656794" w:rsidRDefault="00DD24A4" w:rsidP="002A5A7B">
      <w:pPr>
        <w:pStyle w:val="NormalWeb"/>
        <w:ind w:left="359" w:right="102"/>
        <w:jc w:val="both"/>
        <w:rPr>
          <w:rFonts w:ascii="Arial" w:hAnsi="Arial" w:cs="Arial"/>
          <w:color w:val="000000"/>
          <w:sz w:val="20"/>
          <w:szCs w:val="20"/>
          <w:lang w:val="it-IT"/>
        </w:rPr>
      </w:pPr>
      <w:r w:rsidRPr="00656794">
        <w:rPr>
          <w:rFonts w:ascii="Arial" w:hAnsi="Arial" w:cs="Arial"/>
          <w:color w:val="000000"/>
          <w:sz w:val="20"/>
          <w:szCs w:val="20"/>
          <w:lang w:val="it-IT"/>
        </w:rPr>
        <w:t>■ S.I. N. 485/2015 – European Union (</w:t>
      </w:r>
      <w:r w:rsidR="00C42014">
        <w:rPr>
          <w:rFonts w:ascii="Arial" w:hAnsi="Arial" w:cs="Arial"/>
          <w:color w:val="000000"/>
          <w:sz w:val="20"/>
          <w:szCs w:val="20"/>
          <w:lang w:val="it-IT"/>
        </w:rPr>
        <w:t>Assicurazioni e Riassicurazioni</w:t>
      </w:r>
      <w:r w:rsidRPr="00656794">
        <w:rPr>
          <w:rFonts w:ascii="Arial" w:hAnsi="Arial" w:cs="Arial"/>
          <w:color w:val="000000"/>
          <w:sz w:val="20"/>
          <w:szCs w:val="20"/>
          <w:lang w:val="it-IT"/>
        </w:rPr>
        <w:t xml:space="preserve">) 2015, che contiene le disposizioni irlandesi applicabili sui trasferimenti di portafogli. Il Regolamento 41 del Regolamento 2015 fa espresso riferimento alla Sezione 13 </w:t>
      </w:r>
      <w:r w:rsidR="00C42014">
        <w:rPr>
          <w:rFonts w:ascii="Arial" w:hAnsi="Arial" w:cs="Arial"/>
          <w:color w:val="000000"/>
          <w:sz w:val="20"/>
          <w:szCs w:val="20"/>
          <w:lang w:val="it-IT"/>
        </w:rPr>
        <w:t>della Legge 1909 delle Imprese di Assicurazione</w:t>
      </w:r>
      <w:r w:rsidRPr="00656794">
        <w:rPr>
          <w:rFonts w:ascii="Arial" w:hAnsi="Arial" w:cs="Arial"/>
          <w:color w:val="000000"/>
          <w:sz w:val="20"/>
          <w:szCs w:val="20"/>
          <w:lang w:val="it-IT"/>
        </w:rPr>
        <w:t xml:space="preserve"> e alla Sezione 36 </w:t>
      </w:r>
      <w:r w:rsidR="00C42014">
        <w:rPr>
          <w:rFonts w:ascii="Arial" w:hAnsi="Arial" w:cs="Arial"/>
          <w:color w:val="000000"/>
          <w:sz w:val="20"/>
          <w:szCs w:val="20"/>
          <w:lang w:val="it-IT"/>
        </w:rPr>
        <w:t>della Legge 1989 sulle Assicurazioni</w:t>
      </w:r>
      <w:r w:rsidRPr="00656794">
        <w:rPr>
          <w:rFonts w:ascii="Arial" w:hAnsi="Arial" w:cs="Arial"/>
          <w:color w:val="000000"/>
          <w:sz w:val="20"/>
          <w:szCs w:val="20"/>
          <w:lang w:val="it-IT"/>
        </w:rPr>
        <w:t xml:space="preserve">. Entrambe le sezioni riguardano </w:t>
      </w:r>
      <w:r w:rsidR="00DC30A5">
        <w:rPr>
          <w:rFonts w:ascii="Arial" w:hAnsi="Arial" w:cs="Arial"/>
          <w:color w:val="000000"/>
          <w:sz w:val="20"/>
          <w:szCs w:val="20"/>
          <w:lang w:val="it-IT"/>
        </w:rPr>
        <w:t>l’approvazione</w:t>
      </w:r>
      <w:r w:rsidRPr="00656794">
        <w:rPr>
          <w:rFonts w:ascii="Arial" w:hAnsi="Arial" w:cs="Arial"/>
          <w:color w:val="000000"/>
          <w:sz w:val="20"/>
          <w:szCs w:val="20"/>
          <w:lang w:val="it-IT"/>
        </w:rPr>
        <w:t xml:space="preserve"> dei trasferimenti da parte della Corte.</w:t>
      </w:r>
    </w:p>
    <w:p w14:paraId="5D87A8DB" w14:textId="37144A75" w:rsidR="00DD24A4" w:rsidRPr="00656794" w:rsidRDefault="00DD24A4" w:rsidP="002A5A7B">
      <w:pPr>
        <w:pStyle w:val="NormalWeb"/>
        <w:ind w:left="359" w:right="102"/>
        <w:jc w:val="both"/>
        <w:rPr>
          <w:rFonts w:ascii="Arial" w:hAnsi="Arial" w:cs="Arial"/>
          <w:color w:val="000000"/>
          <w:sz w:val="20"/>
          <w:szCs w:val="20"/>
          <w:lang w:val="it-IT"/>
        </w:rPr>
      </w:pP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Actuary Standard of Practice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ASP</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emesso dalla Society of Actuaries in Irlanda, ASP LA-6,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Trasferimento di attività a lungo termine di una compagnia di assicurazioni autorizzata – ruolo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Attuario Indipendente</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w:t>
      </w:r>
    </w:p>
    <w:p w14:paraId="3865D245" w14:textId="64123A3D" w:rsidR="00DD24A4" w:rsidRPr="00656794" w:rsidRDefault="00DD24A4" w:rsidP="002A5A7B">
      <w:pPr>
        <w:pStyle w:val="NormalWeb"/>
        <w:ind w:left="359" w:right="102"/>
        <w:jc w:val="both"/>
        <w:rPr>
          <w:rFonts w:ascii="Arial" w:hAnsi="Arial" w:cs="Arial"/>
          <w:color w:val="000000"/>
          <w:sz w:val="20"/>
          <w:szCs w:val="20"/>
          <w:lang w:val="it-IT"/>
        </w:rPr>
      </w:pP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ASP rilasciato dalla Society of Actuaries in Irlanda, ASP PA-2,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General Actuary Practice</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w:t>
      </w:r>
    </w:p>
    <w:p w14:paraId="35406C72" w14:textId="7CB329A0" w:rsidR="00DD24A4" w:rsidRPr="00656794" w:rsidRDefault="00525C00" w:rsidP="00DD24A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presente</w:t>
      </w:r>
      <w:r w:rsidR="00DD24A4"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Relazione</w:t>
      </w:r>
      <w:r w:rsidR="00DD24A4"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viene</w:t>
      </w:r>
      <w:r w:rsidR="00DD24A4" w:rsidRPr="00656794">
        <w:rPr>
          <w:rFonts w:ascii="Arial" w:hAnsi="Arial" w:cs="Arial"/>
          <w:color w:val="000000"/>
          <w:sz w:val="20"/>
          <w:szCs w:val="20"/>
          <w:lang w:val="it-IT"/>
        </w:rPr>
        <w:t xml:space="preserve"> preparat</w:t>
      </w:r>
      <w:r w:rsidRPr="00656794">
        <w:rPr>
          <w:rFonts w:ascii="Arial" w:hAnsi="Arial" w:cs="Arial"/>
          <w:color w:val="000000"/>
          <w:sz w:val="20"/>
          <w:szCs w:val="20"/>
          <w:lang w:val="it-IT"/>
        </w:rPr>
        <w:t>a</w:t>
      </w:r>
      <w:r w:rsidR="00DD24A4" w:rsidRPr="00656794">
        <w:rPr>
          <w:rFonts w:ascii="Arial" w:hAnsi="Arial" w:cs="Arial"/>
          <w:color w:val="000000"/>
          <w:sz w:val="20"/>
          <w:szCs w:val="20"/>
          <w:lang w:val="it-IT"/>
        </w:rPr>
        <w:t xml:space="preserve"> principalmente per valutare il probabile impatto che </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DD24A4" w:rsidRPr="00656794">
        <w:rPr>
          <w:rFonts w:ascii="Arial" w:hAnsi="Arial" w:cs="Arial"/>
          <w:color w:val="000000"/>
          <w:sz w:val="20"/>
          <w:szCs w:val="20"/>
          <w:lang w:val="it-IT"/>
        </w:rPr>
        <w:t xml:space="preserve"> avrà </w:t>
      </w:r>
      <w:r w:rsidR="00DC30A5">
        <w:rPr>
          <w:rFonts w:ascii="Arial" w:hAnsi="Arial" w:cs="Arial"/>
          <w:color w:val="000000"/>
          <w:sz w:val="20"/>
          <w:szCs w:val="20"/>
          <w:lang w:val="it-IT"/>
        </w:rPr>
        <w:t>sui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DD24A4" w:rsidRPr="00656794">
        <w:rPr>
          <w:rFonts w:ascii="Arial" w:hAnsi="Arial" w:cs="Arial"/>
          <w:color w:val="000000"/>
          <w:sz w:val="20"/>
          <w:szCs w:val="20"/>
          <w:lang w:val="it-IT"/>
        </w:rPr>
        <w:t xml:space="preserve"> in trasferimento di ZLAP, sui restanti </w:t>
      </w:r>
      <w:r w:rsidR="00DC30A5">
        <w:rPr>
          <w:rFonts w:ascii="Arial" w:hAnsi="Arial" w:cs="Arial"/>
          <w:color w:val="000000"/>
          <w:sz w:val="20"/>
          <w:szCs w:val="20"/>
          <w:lang w:val="it-IT"/>
        </w:rPr>
        <w:t>contraenti</w:t>
      </w:r>
      <w:r w:rsidR="00DD24A4" w:rsidRPr="00656794">
        <w:rPr>
          <w:rFonts w:ascii="Arial" w:hAnsi="Arial" w:cs="Arial"/>
          <w:color w:val="000000"/>
          <w:sz w:val="20"/>
          <w:szCs w:val="20"/>
          <w:lang w:val="it-IT"/>
        </w:rPr>
        <w:t xml:space="preserve"> di ZLAP e sugli attuali </w:t>
      </w:r>
      <w:r w:rsidR="00DC30A5">
        <w:rPr>
          <w:rFonts w:ascii="Arial" w:hAnsi="Arial" w:cs="Arial"/>
          <w:color w:val="000000"/>
          <w:sz w:val="20"/>
          <w:szCs w:val="20"/>
          <w:lang w:val="it-IT"/>
        </w:rPr>
        <w:t>contraenti</w:t>
      </w:r>
      <w:r w:rsidR="00DD24A4" w:rsidRPr="00656794">
        <w:rPr>
          <w:rFonts w:ascii="Arial" w:hAnsi="Arial" w:cs="Arial"/>
          <w:color w:val="000000"/>
          <w:sz w:val="20"/>
          <w:szCs w:val="20"/>
          <w:lang w:val="it-IT"/>
        </w:rPr>
        <w:t xml:space="preserve"> di ZIL se </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DD24A4" w:rsidRPr="00656794">
        <w:rPr>
          <w:rFonts w:ascii="Arial" w:hAnsi="Arial" w:cs="Arial"/>
          <w:color w:val="000000"/>
          <w:sz w:val="20"/>
          <w:szCs w:val="20"/>
          <w:lang w:val="it-IT"/>
        </w:rPr>
        <w:t xml:space="preserve"> procede. Il suo campo di applicazione è limitato alla sola valutazione di questo </w:t>
      </w:r>
      <w:r w:rsidR="00AE4256">
        <w:rPr>
          <w:rFonts w:ascii="Arial" w:hAnsi="Arial" w:cs="Arial"/>
          <w:color w:val="000000"/>
          <w:sz w:val="20"/>
          <w:szCs w:val="20"/>
          <w:lang w:val="it-IT"/>
        </w:rPr>
        <w:t>Atto di Trasferimento</w:t>
      </w:r>
      <w:r w:rsidR="00862B9F">
        <w:rPr>
          <w:rFonts w:ascii="Arial" w:hAnsi="Arial" w:cs="Arial"/>
          <w:color w:val="000000"/>
          <w:sz w:val="20"/>
          <w:szCs w:val="20"/>
          <w:lang w:val="it-IT"/>
        </w:rPr>
        <w:t xml:space="preserve"> </w:t>
      </w:r>
      <w:r w:rsidR="00DD24A4" w:rsidRPr="00656794">
        <w:rPr>
          <w:rFonts w:ascii="Arial" w:hAnsi="Arial" w:cs="Arial"/>
          <w:color w:val="000000"/>
          <w:sz w:val="20"/>
          <w:szCs w:val="20"/>
          <w:lang w:val="it-IT"/>
        </w:rPr>
        <w:t xml:space="preserve">e non a qualsiasi altro </w:t>
      </w:r>
      <w:r w:rsidR="00AE4256">
        <w:rPr>
          <w:rFonts w:ascii="Arial" w:hAnsi="Arial" w:cs="Arial"/>
          <w:color w:val="000000"/>
          <w:sz w:val="20"/>
          <w:szCs w:val="20"/>
          <w:lang w:val="it-IT"/>
        </w:rPr>
        <w:t>Atto di Trasferimento</w:t>
      </w:r>
      <w:r w:rsidR="00DD24A4" w:rsidRPr="00656794">
        <w:rPr>
          <w:rFonts w:ascii="Arial" w:hAnsi="Arial" w:cs="Arial"/>
          <w:color w:val="000000"/>
          <w:sz w:val="20"/>
          <w:szCs w:val="20"/>
          <w:lang w:val="it-IT"/>
        </w:rPr>
        <w:t xml:space="preserve"> possibile. Resta inteso che la presente Relazione deve essere presentata, integralmente, come prova alla Corte quando valuta se </w:t>
      </w:r>
      <w:r w:rsidR="00B072AD" w:rsidRPr="00656794">
        <w:rPr>
          <w:rFonts w:ascii="Arial" w:hAnsi="Arial" w:cs="Arial"/>
          <w:color w:val="000000"/>
          <w:sz w:val="20"/>
          <w:szCs w:val="20"/>
          <w:lang w:val="it-IT"/>
        </w:rPr>
        <w:t>approvare</w:t>
      </w:r>
      <w:r w:rsidR="00DD24A4" w:rsidRPr="00656794">
        <w:rPr>
          <w:rFonts w:ascii="Arial" w:hAnsi="Arial" w:cs="Arial"/>
          <w:color w:val="000000"/>
          <w:sz w:val="20"/>
          <w:szCs w:val="20"/>
          <w:lang w:val="it-IT"/>
        </w:rPr>
        <w:t xml:space="preserve"> o meno </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DD24A4" w:rsidRPr="00656794">
        <w:rPr>
          <w:rFonts w:ascii="Arial" w:hAnsi="Arial" w:cs="Arial"/>
          <w:color w:val="000000"/>
          <w:sz w:val="20"/>
          <w:szCs w:val="20"/>
          <w:lang w:val="it-IT"/>
        </w:rPr>
        <w:t>.</w:t>
      </w:r>
    </w:p>
    <w:p w14:paraId="43ABF54D" w14:textId="3641918B" w:rsidR="00DD24A4" w:rsidRPr="00656794" w:rsidRDefault="00DD24A4" w:rsidP="00DD24A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Il termine </w:t>
      </w:r>
      <w:r w:rsidR="00F23A40" w:rsidRPr="00656794">
        <w:rPr>
          <w:rFonts w:ascii="Arial" w:hAnsi="Arial" w:cs="Arial"/>
          <w:color w:val="000000"/>
          <w:sz w:val="20"/>
          <w:szCs w:val="20"/>
          <w:lang w:val="it-IT"/>
        </w:rPr>
        <w:t>“</w:t>
      </w:r>
      <w:r w:rsidR="00DB4C55">
        <w:rPr>
          <w:rFonts w:ascii="Arial" w:hAnsi="Arial" w:cs="Arial"/>
          <w:color w:val="000000"/>
          <w:sz w:val="20"/>
          <w:szCs w:val="20"/>
          <w:lang w:val="it-IT"/>
        </w:rPr>
        <w:t>Data di trasferimento effettiva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come utilizzato nella presente Relazione, si riferisce alla data alla quale, se </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procede, le polizze unit</w:t>
      </w:r>
      <w:r w:rsidR="008A525A"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linked italiane di ZLAP saranno trasferite a ZIL. La </w:t>
      </w:r>
      <w:r w:rsidR="00DB414C">
        <w:rPr>
          <w:rFonts w:ascii="Arial" w:hAnsi="Arial" w:cs="Arial"/>
          <w:color w:val="000000"/>
          <w:sz w:val="20"/>
          <w:szCs w:val="20"/>
          <w:lang w:val="it-IT"/>
        </w:rPr>
        <w:t>Data di trasferimento effettiva</w:t>
      </w:r>
      <w:r w:rsidRPr="00656794">
        <w:rPr>
          <w:rFonts w:ascii="Arial" w:hAnsi="Arial" w:cs="Arial"/>
          <w:color w:val="000000"/>
          <w:sz w:val="20"/>
          <w:szCs w:val="20"/>
          <w:lang w:val="it-IT"/>
        </w:rPr>
        <w:t xml:space="preserve"> proposta è il </w:t>
      </w:r>
      <w:r w:rsidR="00C974C3" w:rsidRPr="00656794">
        <w:rPr>
          <w:rFonts w:ascii="Arial" w:hAnsi="Arial" w:cs="Arial"/>
          <w:color w:val="000000"/>
          <w:sz w:val="20"/>
          <w:szCs w:val="20"/>
          <w:lang w:val="it-IT"/>
        </w:rPr>
        <w:t>1° luglio</w:t>
      </w:r>
      <w:r w:rsidRPr="00656794">
        <w:rPr>
          <w:rFonts w:ascii="Arial" w:hAnsi="Arial" w:cs="Arial"/>
          <w:color w:val="000000"/>
          <w:sz w:val="20"/>
          <w:szCs w:val="20"/>
          <w:lang w:val="it-IT"/>
        </w:rPr>
        <w:t xml:space="preserve"> 2022.</w:t>
      </w:r>
    </w:p>
    <w:p w14:paraId="3D96579F" w14:textId="4A7FC0F3" w:rsidR="00DD24A4" w:rsidRPr="00656794" w:rsidRDefault="00DD24A4" w:rsidP="00DD24A4">
      <w:pPr>
        <w:pStyle w:val="NormalWeb"/>
        <w:spacing w:before="282" w:beforeAutospacing="0" w:after="0" w:afterAutospacing="0"/>
        <w:rPr>
          <w:lang w:val="it-IT"/>
        </w:rPr>
      </w:pPr>
      <w:r w:rsidRPr="00656794">
        <w:rPr>
          <w:rFonts w:ascii="Arial" w:hAnsi="Arial" w:cs="Arial"/>
          <w:b/>
          <w:bCs/>
          <w:color w:val="00338D"/>
          <w:sz w:val="28"/>
          <w:szCs w:val="28"/>
          <w:lang w:val="it-IT"/>
        </w:rPr>
        <w:t xml:space="preserve">1.4 </w:t>
      </w:r>
      <w:r w:rsidR="00525C00" w:rsidRPr="00656794">
        <w:rPr>
          <w:rFonts w:ascii="Arial" w:hAnsi="Arial" w:cs="Arial"/>
          <w:b/>
          <w:bCs/>
          <w:color w:val="00338D"/>
          <w:sz w:val="28"/>
          <w:szCs w:val="28"/>
          <w:lang w:val="it-IT"/>
        </w:rPr>
        <w:t>Garanzie</w:t>
      </w:r>
      <w:r w:rsidRPr="00656794">
        <w:rPr>
          <w:rFonts w:ascii="Arial" w:hAnsi="Arial" w:cs="Arial"/>
          <w:b/>
          <w:bCs/>
          <w:color w:val="00338D"/>
          <w:sz w:val="28"/>
          <w:szCs w:val="28"/>
          <w:lang w:val="it-IT"/>
        </w:rPr>
        <w:t> </w:t>
      </w:r>
    </w:p>
    <w:p w14:paraId="515D8284" w14:textId="1633AA7B"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Pur essendo stato assistito dal mio team, </w:t>
      </w:r>
      <w:r w:rsidR="00525C00" w:rsidRPr="00656794">
        <w:rPr>
          <w:rFonts w:ascii="Arial" w:hAnsi="Arial" w:cs="Arial"/>
          <w:color w:val="000000"/>
          <w:sz w:val="20"/>
          <w:szCs w:val="20"/>
          <w:lang w:val="it-IT"/>
        </w:rPr>
        <w:t>la Relazione</w:t>
      </w:r>
      <w:r w:rsidRPr="00656794">
        <w:rPr>
          <w:rFonts w:ascii="Arial" w:hAnsi="Arial" w:cs="Arial"/>
          <w:color w:val="000000"/>
          <w:sz w:val="20"/>
          <w:szCs w:val="20"/>
          <w:lang w:val="it-IT"/>
        </w:rPr>
        <w:t xml:space="preserve"> è scritt</w:t>
      </w:r>
      <w:r w:rsidR="00525C00" w:rsidRPr="00656794">
        <w:rPr>
          <w:rFonts w:ascii="Arial" w:hAnsi="Arial" w:cs="Arial"/>
          <w:color w:val="000000"/>
          <w:sz w:val="20"/>
          <w:szCs w:val="20"/>
          <w:lang w:val="it-IT"/>
        </w:rPr>
        <w:t>a</w:t>
      </w:r>
      <w:r w:rsidRPr="00656794">
        <w:rPr>
          <w:rFonts w:ascii="Arial" w:hAnsi="Arial" w:cs="Arial"/>
          <w:color w:val="000000"/>
          <w:sz w:val="20"/>
          <w:szCs w:val="20"/>
          <w:lang w:val="it-IT"/>
        </w:rPr>
        <w:t xml:space="preserve"> in prima persona singolare e le opinioni espresse sono le mie.</w:t>
      </w:r>
    </w:p>
    <w:p w14:paraId="0B64EF34" w14:textId="30874BD7"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Ritengo che il contenuto di quest</w:t>
      </w:r>
      <w:r w:rsidR="00525C00" w:rsidRPr="00656794">
        <w:rPr>
          <w:rFonts w:ascii="Arial" w:hAnsi="Arial" w:cs="Arial"/>
          <w:color w:val="000000"/>
          <w:sz w:val="20"/>
          <w:szCs w:val="20"/>
          <w:lang w:val="it-IT"/>
        </w:rPr>
        <w:t>a</w:t>
      </w:r>
      <w:r w:rsidRPr="00656794">
        <w:rPr>
          <w:rFonts w:ascii="Arial" w:hAnsi="Arial" w:cs="Arial"/>
          <w:color w:val="000000"/>
          <w:sz w:val="20"/>
          <w:szCs w:val="20"/>
          <w:lang w:val="it-IT"/>
        </w:rPr>
        <w:t xml:space="preserv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xml:space="preserve"> sia accurato e completo. Ho considerato tutte le questioni che ritengo rilevanti per le opinioni che ho espresso e ho considerato tutte le questioni che ritengo possano essere rilevanti per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di ZLAP e </w:t>
      </w:r>
      <w:r w:rsidR="00BB5939">
        <w:rPr>
          <w:rFonts w:ascii="Arial" w:hAnsi="Arial" w:cs="Arial"/>
          <w:color w:val="000000"/>
          <w:sz w:val="20"/>
          <w:szCs w:val="20"/>
          <w:lang w:val="it-IT"/>
        </w:rPr>
        <w:t xml:space="preserve">di </w:t>
      </w:r>
      <w:r w:rsidRPr="00656794">
        <w:rPr>
          <w:rFonts w:ascii="Arial" w:hAnsi="Arial" w:cs="Arial"/>
          <w:color w:val="000000"/>
          <w:sz w:val="20"/>
          <w:szCs w:val="20"/>
          <w:lang w:val="it-IT"/>
        </w:rPr>
        <w:t>ZIL nella loro considerazione del</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Tutti gli argomenti sui quali ho espresso un parere rientrano nel mio campo di esperienza.</w:t>
      </w:r>
    </w:p>
    <w:p w14:paraId="3A39594F" w14:textId="59D907C4"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Ho ricevuto </w:t>
      </w:r>
      <w:r w:rsidR="00525C00" w:rsidRPr="00656794">
        <w:rPr>
          <w:rFonts w:ascii="Arial" w:hAnsi="Arial" w:cs="Arial"/>
          <w:color w:val="000000"/>
          <w:sz w:val="20"/>
          <w:szCs w:val="20"/>
          <w:lang w:val="it-IT"/>
        </w:rPr>
        <w:t>garanzie</w:t>
      </w:r>
      <w:r w:rsidRPr="00656794">
        <w:rPr>
          <w:rFonts w:ascii="Arial" w:hAnsi="Arial" w:cs="Arial"/>
          <w:color w:val="000000"/>
          <w:sz w:val="20"/>
          <w:szCs w:val="20"/>
          <w:lang w:val="it-IT"/>
        </w:rPr>
        <w:t xml:space="preserve"> come segue:</w:t>
      </w:r>
    </w:p>
    <w:p w14:paraId="4524071D" w14:textId="1D13C110" w:rsidR="005A0B19" w:rsidRPr="00656794" w:rsidRDefault="005A0B19" w:rsidP="002A5A7B">
      <w:pPr>
        <w:pStyle w:val="NormalWeb"/>
        <w:ind w:left="359" w:right="102"/>
        <w:jc w:val="both"/>
        <w:rPr>
          <w:rFonts w:ascii="Arial" w:hAnsi="Arial" w:cs="Arial"/>
          <w:color w:val="000000"/>
          <w:sz w:val="20"/>
          <w:szCs w:val="20"/>
          <w:lang w:val="it-IT"/>
        </w:rPr>
      </w:pPr>
      <w:r w:rsidRPr="00656794">
        <w:rPr>
          <w:rFonts w:ascii="Arial" w:hAnsi="Arial" w:cs="Arial"/>
          <w:color w:val="000000"/>
          <w:sz w:val="20"/>
          <w:szCs w:val="20"/>
          <w:lang w:val="it-IT"/>
        </w:rPr>
        <w:t>■ Ho distribuito quest</w:t>
      </w:r>
      <w:r w:rsidR="00525C00" w:rsidRPr="00656794">
        <w:rPr>
          <w:rFonts w:ascii="Arial" w:hAnsi="Arial" w:cs="Arial"/>
          <w:color w:val="000000"/>
          <w:sz w:val="20"/>
          <w:szCs w:val="20"/>
          <w:lang w:val="it-IT"/>
        </w:rPr>
        <w:t>a</w:t>
      </w:r>
      <w:r w:rsidRPr="00656794">
        <w:rPr>
          <w:rFonts w:ascii="Arial" w:hAnsi="Arial" w:cs="Arial"/>
          <w:color w:val="000000"/>
          <w:sz w:val="20"/>
          <w:szCs w:val="20"/>
          <w:lang w:val="it-IT"/>
        </w:rPr>
        <w:t xml:space="preserv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xml:space="preserve"> rispettivamente alla direzione di ZLAP e </w:t>
      </w:r>
      <w:r w:rsidR="00DB5F76">
        <w:rPr>
          <w:rFonts w:ascii="Arial" w:hAnsi="Arial" w:cs="Arial"/>
          <w:color w:val="000000"/>
          <w:sz w:val="20"/>
          <w:szCs w:val="20"/>
          <w:lang w:val="it-IT"/>
        </w:rPr>
        <w:t xml:space="preserve">di </w:t>
      </w:r>
      <w:r w:rsidRPr="00656794">
        <w:rPr>
          <w:rFonts w:ascii="Arial" w:hAnsi="Arial" w:cs="Arial"/>
          <w:color w:val="000000"/>
          <w:sz w:val="20"/>
          <w:szCs w:val="20"/>
          <w:lang w:val="it-IT"/>
        </w:rPr>
        <w:t>ZIL per chiedere commenti sui dettagli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de</w:t>
      </w:r>
      <w:r w:rsidR="00525C00" w:rsidRPr="00656794">
        <w:rPr>
          <w:rFonts w:ascii="Arial" w:hAnsi="Arial" w:cs="Arial"/>
          <w:color w:val="000000"/>
          <w:sz w:val="20"/>
          <w:szCs w:val="20"/>
          <w:lang w:val="it-IT"/>
        </w:rPr>
        <w:t>l</w:t>
      </w:r>
      <w:r w:rsidRPr="00656794">
        <w:rPr>
          <w:rFonts w:ascii="Arial" w:hAnsi="Arial" w:cs="Arial"/>
          <w:color w:val="000000"/>
          <w:sz w:val="20"/>
          <w:szCs w:val="20"/>
          <w:lang w:val="it-IT"/>
        </w:rPr>
        <w:t>l</w:t>
      </w:r>
      <w:r w:rsidR="00525C00" w:rsidRPr="00656794">
        <w:rPr>
          <w:rFonts w:ascii="Arial" w:hAnsi="Arial" w:cs="Arial"/>
          <w:color w:val="000000"/>
          <w:sz w:val="20"/>
          <w:szCs w:val="20"/>
          <w:lang w:val="it-IT"/>
        </w:rPr>
        <w:t>a</w:t>
      </w:r>
      <w:r w:rsidRPr="00656794">
        <w:rPr>
          <w:rFonts w:ascii="Arial" w:hAnsi="Arial" w:cs="Arial"/>
          <w:color w:val="000000"/>
          <w:sz w:val="20"/>
          <w:szCs w:val="20"/>
          <w:lang w:val="it-IT"/>
        </w:rPr>
        <w:t xml:space="preserv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xml:space="preserve">, inclusa la conferma che mi sono state fornite </w:t>
      </w:r>
      <w:r w:rsidR="00102744" w:rsidRPr="00656794">
        <w:rPr>
          <w:rFonts w:ascii="Arial" w:hAnsi="Arial" w:cs="Arial"/>
          <w:color w:val="000000"/>
          <w:sz w:val="20"/>
          <w:szCs w:val="20"/>
          <w:lang w:val="it-IT"/>
        </w:rPr>
        <w:t xml:space="preserve">tutte le informazioni sostanziali </w:t>
      </w:r>
      <w:r w:rsidRPr="00656794">
        <w:rPr>
          <w:rFonts w:ascii="Arial" w:hAnsi="Arial" w:cs="Arial"/>
          <w:color w:val="000000"/>
          <w:sz w:val="20"/>
          <w:szCs w:val="20"/>
          <w:lang w:val="it-IT"/>
        </w:rPr>
        <w:t xml:space="preserve">e come verrà attuato </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w:t>
      </w:r>
      <w:r w:rsidR="00525C00" w:rsidRPr="00656794">
        <w:rPr>
          <w:rFonts w:ascii="Arial" w:hAnsi="Arial" w:cs="Arial"/>
          <w:color w:val="000000"/>
          <w:sz w:val="20"/>
          <w:szCs w:val="20"/>
          <w:lang w:val="it-IT"/>
        </w:rPr>
        <w:t xml:space="preserve">Non </w:t>
      </w:r>
      <w:r w:rsidRPr="00656794">
        <w:rPr>
          <w:rFonts w:ascii="Arial" w:hAnsi="Arial" w:cs="Arial"/>
          <w:color w:val="000000"/>
          <w:sz w:val="20"/>
          <w:szCs w:val="20"/>
          <w:lang w:val="it-IT"/>
        </w:rPr>
        <w:t xml:space="preserve">è stato rilevato </w:t>
      </w:r>
      <w:r w:rsidR="00525C00" w:rsidRPr="00656794">
        <w:rPr>
          <w:rFonts w:ascii="Arial" w:hAnsi="Arial" w:cs="Arial"/>
          <w:color w:val="000000"/>
          <w:sz w:val="20"/>
          <w:szCs w:val="20"/>
          <w:lang w:val="it-IT"/>
        </w:rPr>
        <w:t xml:space="preserve">alcun problema </w:t>
      </w:r>
      <w:r w:rsidRPr="00656794">
        <w:rPr>
          <w:rFonts w:ascii="Arial" w:hAnsi="Arial" w:cs="Arial"/>
          <w:color w:val="000000"/>
          <w:sz w:val="20"/>
          <w:szCs w:val="20"/>
          <w:lang w:val="it-IT"/>
        </w:rPr>
        <w:t xml:space="preserve">con i commenti e i dettagli presentati in questa versione finale della mia relazione da nessuno dei due gruppi di dirigenti. Ho anche avuto accesso completo al personale </w:t>
      </w:r>
      <w:r w:rsidR="00280B87">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ZLAP e </w:t>
      </w:r>
      <w:r w:rsidR="00280B87">
        <w:rPr>
          <w:rFonts w:ascii="Arial" w:hAnsi="Arial" w:cs="Arial"/>
          <w:color w:val="000000"/>
          <w:sz w:val="20"/>
          <w:szCs w:val="20"/>
          <w:lang w:val="it-IT"/>
        </w:rPr>
        <w:t xml:space="preserve">di </w:t>
      </w:r>
      <w:r w:rsidRPr="00656794">
        <w:rPr>
          <w:rFonts w:ascii="Arial" w:hAnsi="Arial" w:cs="Arial"/>
          <w:color w:val="000000"/>
          <w:sz w:val="20"/>
          <w:szCs w:val="20"/>
          <w:lang w:val="it-IT"/>
        </w:rPr>
        <w:t>ZIL, se necessario.</w:t>
      </w:r>
    </w:p>
    <w:p w14:paraId="1231AE18" w14:textId="5EDBE179" w:rsidR="005A0B19" w:rsidRPr="00656794" w:rsidRDefault="005A0B19" w:rsidP="002A5A7B">
      <w:pPr>
        <w:pStyle w:val="NormalWeb"/>
        <w:ind w:left="359"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Ho fornito al capo della funzione attuariale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HoAF</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di ZLAP (Conor O</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Brien) 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HoAF di ZIL (Silvia Rum) </w:t>
      </w:r>
      <w:r w:rsidR="00525C00" w:rsidRPr="00656794">
        <w:rPr>
          <w:rFonts w:ascii="Arial" w:hAnsi="Arial" w:cs="Arial"/>
          <w:color w:val="000000"/>
          <w:sz w:val="20"/>
          <w:szCs w:val="20"/>
          <w:lang w:val="it-IT"/>
        </w:rPr>
        <w:t>la mia</w:t>
      </w:r>
      <w:r w:rsidRPr="00656794">
        <w:rPr>
          <w:rFonts w:ascii="Arial" w:hAnsi="Arial" w:cs="Arial"/>
          <w:color w:val="000000"/>
          <w:sz w:val="20"/>
          <w:szCs w:val="20"/>
          <w:lang w:val="it-IT"/>
        </w:rPr>
        <w:t xml:space="preserv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xml:space="preserve"> per assicurarmi che siano a conoscenza dei commenti che ho fatto in quest</w:t>
      </w:r>
      <w:r w:rsidR="00CE260C" w:rsidRPr="00656794">
        <w:rPr>
          <w:rFonts w:ascii="Arial" w:hAnsi="Arial" w:cs="Arial"/>
          <w:color w:val="000000"/>
          <w:sz w:val="20"/>
          <w:szCs w:val="20"/>
          <w:lang w:val="it-IT"/>
        </w:rPr>
        <w:t>a</w:t>
      </w:r>
      <w:r w:rsidRPr="00656794">
        <w:rPr>
          <w:rFonts w:ascii="Arial" w:hAnsi="Arial" w:cs="Arial"/>
          <w:color w:val="000000"/>
          <w:sz w:val="20"/>
          <w:szCs w:val="20"/>
          <w:lang w:val="it-IT"/>
        </w:rPr>
        <w:t xml:space="preserv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xml:space="preserve"> in </w:t>
      </w:r>
      <w:r w:rsidR="00CE260C" w:rsidRPr="00656794">
        <w:rPr>
          <w:rFonts w:ascii="Arial" w:hAnsi="Arial" w:cs="Arial"/>
          <w:color w:val="000000"/>
          <w:sz w:val="20"/>
          <w:szCs w:val="20"/>
          <w:lang w:val="it-IT"/>
        </w:rPr>
        <w:t>rapporto</w:t>
      </w:r>
      <w:r w:rsidRPr="00656794">
        <w:rPr>
          <w:rFonts w:ascii="Arial" w:hAnsi="Arial" w:cs="Arial"/>
          <w:color w:val="000000"/>
          <w:sz w:val="20"/>
          <w:szCs w:val="20"/>
          <w:lang w:val="it-IT"/>
        </w:rPr>
        <w:t xml:space="preserve"> a informazioni attuariali e di rischio e </w:t>
      </w:r>
      <w:r w:rsidR="009D25ED">
        <w:rPr>
          <w:rFonts w:ascii="Arial" w:hAnsi="Arial" w:cs="Arial"/>
          <w:color w:val="000000"/>
          <w:sz w:val="20"/>
          <w:szCs w:val="20"/>
          <w:lang w:val="it-IT"/>
        </w:rPr>
        <w:t xml:space="preserve">ai </w:t>
      </w:r>
      <w:r w:rsidRPr="00656794">
        <w:rPr>
          <w:rFonts w:ascii="Arial" w:hAnsi="Arial" w:cs="Arial"/>
          <w:color w:val="000000"/>
          <w:sz w:val="20"/>
          <w:szCs w:val="20"/>
          <w:lang w:val="it-IT"/>
        </w:rPr>
        <w:t>loro ruoli come HoAF delle rispettive società. Mi risulta che abbiano condiviso la mia segnalazione con altri colleghi delle aziende per sollecitare le loro opinioni. Non sono stati rilevati problemi a seguito della revisione di questa versione finale del</w:t>
      </w:r>
      <w:r w:rsidR="00CE260C" w:rsidRPr="00656794">
        <w:rPr>
          <w:rFonts w:ascii="Arial" w:hAnsi="Arial" w:cs="Arial"/>
          <w:color w:val="000000"/>
          <w:sz w:val="20"/>
          <w:szCs w:val="20"/>
          <w:lang w:val="it-IT"/>
        </w:rPr>
        <w:t xml:space="preserve">la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w:t>
      </w:r>
    </w:p>
    <w:p w14:paraId="16F077EF" w14:textId="19E23F0F"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Nello svolgimento del mio lavoro e nella redazione della presente Relazione ho preso in considerazione vari documenti fornitimi da ZLAP, ZIL, A&amp;L Goodbody e </w:t>
      </w:r>
      <w:r w:rsidR="00467289">
        <w:rPr>
          <w:rFonts w:ascii="Arial" w:hAnsi="Arial" w:cs="Arial"/>
          <w:color w:val="000000"/>
          <w:sz w:val="20"/>
          <w:szCs w:val="20"/>
          <w:lang w:val="it-IT"/>
        </w:rPr>
        <w:t xml:space="preserve">dallo </w:t>
      </w:r>
      <w:r w:rsidRPr="00656794">
        <w:rPr>
          <w:rFonts w:ascii="Arial" w:hAnsi="Arial" w:cs="Arial"/>
          <w:color w:val="000000"/>
          <w:sz w:val="20"/>
          <w:szCs w:val="20"/>
          <w:lang w:val="it-IT"/>
        </w:rPr>
        <w:t xml:space="preserve">Studio Legale Bonelli Erede Lombardi Pappalardo (che sono i consulenti legali in relazione al proposto </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per ZLAP e ZIL rispettivamente in materia di diritto irlandese e italiano). Un elenco riassuntivo dei principali documenti che ho preso in considerazione è riportato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Appendice 1.</w:t>
      </w:r>
    </w:p>
    <w:p w14:paraId="2235BB8E" w14:textId="1799D76D"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Tutti i dati e le informazioni che ho richiesto mi sono stati forniti da ZLAP, </w:t>
      </w:r>
      <w:r w:rsidR="003C2942">
        <w:rPr>
          <w:rFonts w:ascii="Arial" w:hAnsi="Arial" w:cs="Arial"/>
          <w:color w:val="000000"/>
          <w:sz w:val="20"/>
          <w:szCs w:val="20"/>
          <w:lang w:val="it-IT"/>
        </w:rPr>
        <w:t xml:space="preserve">da </w:t>
      </w:r>
      <w:r w:rsidRPr="00656794">
        <w:rPr>
          <w:rFonts w:ascii="Arial" w:hAnsi="Arial" w:cs="Arial"/>
          <w:color w:val="000000"/>
          <w:sz w:val="20"/>
          <w:szCs w:val="20"/>
          <w:lang w:val="it-IT"/>
        </w:rPr>
        <w:t>ZIL e dai loro consulenti a seconda dei casi. Ho fatto affidamento sull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accuratezza e la completezza di questi dati e informazioni, che mi sono stati forniti sia in forma scritta che orale da ZLAP, </w:t>
      </w:r>
      <w:r w:rsidR="008800B9">
        <w:rPr>
          <w:rFonts w:ascii="Arial" w:hAnsi="Arial" w:cs="Arial"/>
          <w:color w:val="000000"/>
          <w:sz w:val="20"/>
          <w:szCs w:val="20"/>
          <w:lang w:val="it-IT"/>
        </w:rPr>
        <w:t xml:space="preserve">da </w:t>
      </w:r>
      <w:r w:rsidRPr="00656794">
        <w:rPr>
          <w:rFonts w:ascii="Arial" w:hAnsi="Arial" w:cs="Arial"/>
          <w:color w:val="000000"/>
          <w:sz w:val="20"/>
          <w:szCs w:val="20"/>
          <w:lang w:val="it-IT"/>
        </w:rPr>
        <w:t xml:space="preserve">ZIL e dai loro consulenti. Non ho richiesto una verifica indipendente dei dati e delle informazioni fornitemi dalle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né il mio lavoro costituisce una verifica delle informazioni finanziarie e di altro tipo fornitemi. Ho, ove possibile, esaminato le informazioni fornite</w:t>
      </w:r>
      <w:r w:rsidR="009F2093">
        <w:rPr>
          <w:rFonts w:ascii="Arial" w:hAnsi="Arial" w:cs="Arial"/>
          <w:color w:val="000000"/>
          <w:sz w:val="20"/>
          <w:szCs w:val="20"/>
          <w:lang w:val="it-IT"/>
        </w:rPr>
        <w:t xml:space="preserve">mi </w:t>
      </w:r>
      <w:r w:rsidRPr="00656794">
        <w:rPr>
          <w:rFonts w:ascii="Arial" w:hAnsi="Arial" w:cs="Arial"/>
          <w:color w:val="000000"/>
          <w:sz w:val="20"/>
          <w:szCs w:val="20"/>
          <w:lang w:val="it-IT"/>
        </w:rPr>
        <w:t>per verificarne la ragionevolezza. Laddove le informazioni critiche siano state inizialmente fornite oralmente, ho richiesto e ottenuto conferma scritta.</w:t>
      </w:r>
    </w:p>
    <w:p w14:paraId="0269051D" w14:textId="03EA3430"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Ho condotto teleconferenze con rappresentanti delle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per discutere le informazioni fornitemi e questioni specifiche emerse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analisi condotta.</w:t>
      </w:r>
    </w:p>
    <w:p w14:paraId="71246AFF" w14:textId="2A908C27" w:rsidR="00DD24A4"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Sono stato informato di discussioni pertinenti tra ZLAP, ZIL, CBI e IVASS e ho chiesto loro in particolare se c</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erano questioni specifiche di cui dovevo essere a conoscenza.</w:t>
      </w:r>
    </w:p>
    <w:p w14:paraId="21E5BB7A" w14:textId="4626B8D0"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b/>
          <w:bCs/>
          <w:color w:val="00338D"/>
          <w:sz w:val="28"/>
          <w:szCs w:val="28"/>
          <w:lang w:val="it-IT"/>
        </w:rPr>
        <w:t xml:space="preserve">1.5 </w:t>
      </w:r>
      <w:r w:rsidR="00CE260C" w:rsidRPr="00656794">
        <w:rPr>
          <w:rFonts w:ascii="Arial" w:hAnsi="Arial" w:cs="Arial"/>
          <w:b/>
          <w:bCs/>
          <w:color w:val="00338D"/>
          <w:sz w:val="28"/>
          <w:szCs w:val="28"/>
          <w:lang w:val="it-IT"/>
        </w:rPr>
        <w:t>Requisiti e limiti</w:t>
      </w:r>
    </w:p>
    <w:p w14:paraId="24E88ABA" w14:textId="77777777"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presente Relazione deve essere letta nella sua interezza. La lettura isolata di singole sezioni può essere fuorviante.</w:t>
      </w:r>
    </w:p>
    <w:p w14:paraId="081EBD24" w14:textId="2B9CD549"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Una copia della Relazione e una versione sintetica della Relazione (la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Relazione di sintesi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saranno messe a disposizione </w:t>
      </w:r>
      <w:r w:rsidR="00F51336">
        <w:rPr>
          <w:rFonts w:ascii="Arial" w:hAnsi="Arial" w:cs="Arial"/>
          <w:color w:val="000000"/>
          <w:sz w:val="20"/>
          <w:szCs w:val="20"/>
          <w:lang w:val="it-IT"/>
        </w:rPr>
        <w:t>della Corte</w:t>
      </w:r>
      <w:r w:rsidRPr="00656794">
        <w:rPr>
          <w:rFonts w:ascii="Arial" w:hAnsi="Arial" w:cs="Arial"/>
          <w:color w:val="000000"/>
          <w:sz w:val="20"/>
          <w:szCs w:val="20"/>
          <w:lang w:val="it-IT"/>
        </w:rPr>
        <w:t xml:space="preserve">, della CBI e dei Consigli di amministrazione di ZLAP e </w:t>
      </w:r>
      <w:r w:rsidR="009F2093">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ZIL. Sarà inoltre messo gratuitamente a disposizione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presso:</w:t>
      </w:r>
    </w:p>
    <w:p w14:paraId="76B19798" w14:textId="77777777" w:rsidR="00CE260C"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La sede legale di ZLAP – Zurich House, Blackrock, County Dublin, Ireland; </w:t>
      </w:r>
    </w:p>
    <w:p w14:paraId="1E4AD111" w14:textId="568CE81D"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Il sito web di Zurigo – www.zurich.ie.</w:t>
      </w:r>
    </w:p>
    <w:p w14:paraId="37433B7D" w14:textId="77777777"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La sede legale di ZIL – Via Benigno Crespi, 23, Milano, 20159, Italia;</w:t>
      </w:r>
    </w:p>
    <w:p w14:paraId="294DFABC" w14:textId="77777777"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Il sito web ZIL – www.zurich.it</w:t>
      </w:r>
    </w:p>
    <w:p w14:paraId="2F98CD59" w14:textId="50DC649A" w:rsidR="005A0B19" w:rsidRPr="00656794" w:rsidRDefault="00525C00"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Relazione</w:t>
      </w:r>
      <w:r w:rsidR="005A0B19" w:rsidRPr="00656794">
        <w:rPr>
          <w:rFonts w:ascii="Arial" w:hAnsi="Arial" w:cs="Arial"/>
          <w:color w:val="000000"/>
          <w:sz w:val="20"/>
          <w:szCs w:val="20"/>
          <w:lang w:val="it-IT"/>
        </w:rPr>
        <w:t xml:space="preserve"> di sintesi copre tutti i punti e le questioni rilevanti sollevati in quest</w:t>
      </w:r>
      <w:r w:rsidR="00CE260C" w:rsidRPr="00656794">
        <w:rPr>
          <w:rFonts w:ascii="Arial" w:hAnsi="Arial" w:cs="Arial"/>
          <w:color w:val="000000"/>
          <w:sz w:val="20"/>
          <w:szCs w:val="20"/>
          <w:lang w:val="it-IT"/>
        </w:rPr>
        <w:t>a</w:t>
      </w:r>
      <w:r w:rsidR="005A0B19"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Relazione</w:t>
      </w:r>
      <w:r w:rsidR="005A0B19" w:rsidRPr="00656794">
        <w:rPr>
          <w:rFonts w:ascii="Arial" w:hAnsi="Arial" w:cs="Arial"/>
          <w:color w:val="000000"/>
          <w:sz w:val="20"/>
          <w:szCs w:val="20"/>
          <w:lang w:val="it-IT"/>
        </w:rPr>
        <w:t xml:space="preserve"> complet</w:t>
      </w:r>
      <w:r w:rsidR="00CE260C" w:rsidRPr="00656794">
        <w:rPr>
          <w:rFonts w:ascii="Arial" w:hAnsi="Arial" w:cs="Arial"/>
          <w:color w:val="000000"/>
          <w:sz w:val="20"/>
          <w:szCs w:val="20"/>
          <w:lang w:val="it-IT"/>
        </w:rPr>
        <w:t>a</w:t>
      </w:r>
      <w:r w:rsidR="005A0B19" w:rsidRPr="00656794">
        <w:rPr>
          <w:rFonts w:ascii="Arial" w:hAnsi="Arial" w:cs="Arial"/>
          <w:color w:val="000000"/>
          <w:sz w:val="20"/>
          <w:szCs w:val="20"/>
          <w:lang w:val="it-IT"/>
        </w:rPr>
        <w:t xml:space="preserve"> e sarà inviat</w:t>
      </w:r>
      <w:r w:rsidR="00CE260C" w:rsidRPr="00656794">
        <w:rPr>
          <w:rFonts w:ascii="Arial" w:hAnsi="Arial" w:cs="Arial"/>
          <w:color w:val="000000"/>
          <w:sz w:val="20"/>
          <w:szCs w:val="20"/>
          <w:lang w:val="it-IT"/>
        </w:rPr>
        <w:t>a</w:t>
      </w:r>
      <w:r w:rsidR="005A0B19" w:rsidRPr="00656794">
        <w:rPr>
          <w:rFonts w:ascii="Arial" w:hAnsi="Arial" w:cs="Arial"/>
          <w:color w:val="000000"/>
          <w:sz w:val="20"/>
          <w:szCs w:val="20"/>
          <w:lang w:val="it-IT"/>
        </w:rPr>
        <w:t xml:space="preserve"> a ciascun contraente </w:t>
      </w:r>
      <w:r w:rsidR="00643713">
        <w:rPr>
          <w:rFonts w:ascii="Arial" w:hAnsi="Arial" w:cs="Arial"/>
          <w:color w:val="000000"/>
          <w:sz w:val="20"/>
          <w:szCs w:val="20"/>
          <w:lang w:val="it-IT"/>
        </w:rPr>
        <w:t>nel perimetro di trasferimento</w:t>
      </w:r>
      <w:r w:rsidR="005A0B19" w:rsidRPr="00656794">
        <w:rPr>
          <w:rFonts w:ascii="Arial" w:hAnsi="Arial" w:cs="Arial"/>
          <w:color w:val="000000"/>
          <w:sz w:val="20"/>
          <w:szCs w:val="20"/>
          <w:lang w:val="it-IT"/>
        </w:rPr>
        <w:t>.</w:t>
      </w:r>
    </w:p>
    <w:p w14:paraId="140A9B03" w14:textId="15697F7B"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presente Relazione è redatta esclusivamente in r</w:t>
      </w:r>
      <w:r w:rsidR="00CE260C" w:rsidRPr="00656794">
        <w:rPr>
          <w:rFonts w:ascii="Arial" w:hAnsi="Arial" w:cs="Arial"/>
          <w:color w:val="000000"/>
          <w:sz w:val="20"/>
          <w:szCs w:val="20"/>
          <w:lang w:val="it-IT"/>
        </w:rPr>
        <w:t>apporto</w:t>
      </w:r>
      <w:r w:rsidRPr="00656794">
        <w:rPr>
          <w:rFonts w:ascii="Arial" w:hAnsi="Arial" w:cs="Arial"/>
          <w:color w:val="000000"/>
          <w:sz w:val="20"/>
          <w:szCs w:val="20"/>
          <w:lang w:val="it-IT"/>
        </w:rPr>
        <w:t xml:space="preserve"> e allo scopo di informare la Corte 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8A0967">
        <w:rPr>
          <w:rFonts w:ascii="Arial" w:hAnsi="Arial" w:cs="Arial"/>
          <w:color w:val="000000"/>
          <w:sz w:val="20"/>
          <w:szCs w:val="20"/>
          <w:lang w:val="it-IT"/>
        </w:rPr>
        <w:t xml:space="preserve"> in perimetro per il trasferimento</w:t>
      </w:r>
      <w:r w:rsidRPr="00656794">
        <w:rPr>
          <w:rFonts w:ascii="Arial" w:hAnsi="Arial" w:cs="Arial"/>
          <w:color w:val="000000"/>
          <w:sz w:val="20"/>
          <w:szCs w:val="20"/>
          <w:lang w:val="it-IT"/>
        </w:rPr>
        <w:t xml:space="preserve"> </w:t>
      </w:r>
      <w:r w:rsidR="00CE260C" w:rsidRPr="00656794">
        <w:rPr>
          <w:rFonts w:ascii="Arial" w:hAnsi="Arial" w:cs="Arial"/>
          <w:color w:val="000000"/>
          <w:sz w:val="20"/>
          <w:szCs w:val="20"/>
          <w:lang w:val="it-IT"/>
        </w:rPr>
        <w:t xml:space="preserve">e </w:t>
      </w:r>
      <w:r w:rsidRPr="00656794">
        <w:rPr>
          <w:rFonts w:ascii="Arial" w:hAnsi="Arial" w:cs="Arial"/>
          <w:color w:val="000000"/>
          <w:sz w:val="20"/>
          <w:szCs w:val="20"/>
          <w:lang w:val="it-IT"/>
        </w:rPr>
        <w:t xml:space="preserve">potenzialmente interessati </w:t>
      </w:r>
      <w:r w:rsidR="001C5DEB">
        <w:rPr>
          <w:rFonts w:ascii="Arial" w:hAnsi="Arial" w:cs="Arial"/>
          <w:color w:val="000000"/>
          <w:sz w:val="20"/>
          <w:szCs w:val="20"/>
          <w:lang w:val="it-IT"/>
        </w:rPr>
        <w:t xml:space="preserve">allo stesso, </w:t>
      </w:r>
      <w:r w:rsidRPr="00656794">
        <w:rPr>
          <w:rFonts w:ascii="Arial" w:hAnsi="Arial" w:cs="Arial"/>
          <w:color w:val="000000"/>
          <w:sz w:val="20"/>
          <w:szCs w:val="20"/>
          <w:lang w:val="it-IT"/>
        </w:rPr>
        <w:t>delle mie conclusioni in merito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del</w:t>
      </w:r>
      <w:r w:rsidR="001C5DEB">
        <w:rPr>
          <w:rFonts w:ascii="Arial" w:hAnsi="Arial" w:cs="Arial"/>
          <w:color w:val="000000"/>
          <w:sz w:val="20"/>
          <w:szCs w:val="20"/>
          <w:lang w:val="it-IT"/>
        </w:rPr>
        <w:t xml:space="preserve"> che il</w:t>
      </w:r>
      <w:r w:rsidR="00CE466E">
        <w:rPr>
          <w:rFonts w:ascii="Arial" w:hAnsi="Arial" w:cs="Arial"/>
          <w:color w:val="000000"/>
          <w:sz w:val="20"/>
          <w:szCs w:val="20"/>
          <w:lang w:val="it-IT"/>
        </w:rPr>
        <w:t xml:space="preserve"> trasferimento</w:t>
      </w:r>
      <w:r w:rsidRPr="00656794">
        <w:rPr>
          <w:rFonts w:ascii="Arial" w:hAnsi="Arial" w:cs="Arial"/>
          <w:color w:val="000000"/>
          <w:sz w:val="20"/>
          <w:szCs w:val="20"/>
          <w:lang w:val="it-IT"/>
        </w:rPr>
        <w:t xml:space="preserve"> </w:t>
      </w:r>
      <w:r w:rsidR="001C5DEB">
        <w:rPr>
          <w:rFonts w:ascii="Arial" w:hAnsi="Arial" w:cs="Arial"/>
          <w:color w:val="000000"/>
          <w:sz w:val="20"/>
          <w:szCs w:val="20"/>
          <w:lang w:val="it-IT"/>
        </w:rPr>
        <w:t xml:space="preserve">stesso potrebbe avere </w:t>
      </w:r>
      <w:r w:rsidRPr="00656794">
        <w:rPr>
          <w:rFonts w:ascii="Arial" w:hAnsi="Arial" w:cs="Arial"/>
          <w:color w:val="000000"/>
          <w:sz w:val="20"/>
          <w:szCs w:val="20"/>
          <w:lang w:val="it-IT"/>
        </w:rPr>
        <w:t xml:space="preserve">sulla sicurezza e sulle aspettative di tali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e può essere invocato solo per questo scopo.</w:t>
      </w:r>
    </w:p>
    <w:p w14:paraId="75E98719" w14:textId="339B1B43" w:rsidR="005A0B19" w:rsidRPr="00656794" w:rsidRDefault="00525C00"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presente</w:t>
      </w:r>
      <w:r w:rsidR="005A0B19"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Relazione</w:t>
      </w:r>
      <w:r w:rsidR="005A0B19" w:rsidRPr="00656794">
        <w:rPr>
          <w:rFonts w:ascii="Arial" w:hAnsi="Arial" w:cs="Arial"/>
          <w:color w:val="000000"/>
          <w:sz w:val="20"/>
          <w:szCs w:val="20"/>
          <w:lang w:val="it-IT"/>
        </w:rPr>
        <w:t xml:space="preserve"> è soggett</w:t>
      </w:r>
      <w:r w:rsidR="00CE260C" w:rsidRPr="00656794">
        <w:rPr>
          <w:rFonts w:ascii="Arial" w:hAnsi="Arial" w:cs="Arial"/>
          <w:color w:val="000000"/>
          <w:sz w:val="20"/>
          <w:szCs w:val="20"/>
          <w:lang w:val="it-IT"/>
        </w:rPr>
        <w:t>a</w:t>
      </w:r>
      <w:r w:rsidR="005A0B19" w:rsidRPr="00656794">
        <w:rPr>
          <w:rFonts w:ascii="Arial" w:hAnsi="Arial" w:cs="Arial"/>
          <w:color w:val="000000"/>
          <w:sz w:val="20"/>
          <w:szCs w:val="20"/>
          <w:lang w:val="it-IT"/>
        </w:rPr>
        <w:t xml:space="preserve"> ai termini e alle limitazioni, inclusa la limitazione di responsabilità, stabiliti nella lettera di incarico del mio studio datata 18 febbraio 2021. Un estratto di questo contratto che descrive lo scopo del mio lavoro è contenuto nell</w:t>
      </w:r>
      <w:r w:rsidR="00F23A40" w:rsidRPr="00656794">
        <w:rPr>
          <w:rFonts w:ascii="Arial" w:hAnsi="Arial" w:cs="Arial"/>
          <w:color w:val="000000"/>
          <w:sz w:val="20"/>
          <w:szCs w:val="20"/>
          <w:lang w:val="it-IT"/>
        </w:rPr>
        <w:t>’</w:t>
      </w:r>
      <w:r w:rsidR="005A0B19" w:rsidRPr="00656794">
        <w:rPr>
          <w:rFonts w:ascii="Arial" w:hAnsi="Arial" w:cs="Arial"/>
          <w:color w:val="000000"/>
          <w:sz w:val="20"/>
          <w:szCs w:val="20"/>
          <w:lang w:val="it-IT"/>
        </w:rPr>
        <w:t>Appendice 2.</w:t>
      </w:r>
    </w:p>
    <w:p w14:paraId="1AF0AF17" w14:textId="17C9696F" w:rsidR="005A0B19" w:rsidRPr="00656794" w:rsidRDefault="00525C00"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La presente</w:t>
      </w:r>
      <w:r w:rsidR="005A0B19"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Relazione</w:t>
      </w:r>
      <w:r w:rsidR="005A0B19" w:rsidRPr="00656794">
        <w:rPr>
          <w:rFonts w:ascii="Arial" w:hAnsi="Arial" w:cs="Arial"/>
          <w:color w:val="000000"/>
          <w:sz w:val="20"/>
          <w:szCs w:val="20"/>
          <w:lang w:val="it-IT"/>
        </w:rPr>
        <w:t xml:space="preserve"> non deve essere considerat</w:t>
      </w:r>
      <w:r w:rsidR="00CE260C" w:rsidRPr="00656794">
        <w:rPr>
          <w:rFonts w:ascii="Arial" w:hAnsi="Arial" w:cs="Arial"/>
          <w:color w:val="000000"/>
          <w:sz w:val="20"/>
          <w:szCs w:val="20"/>
          <w:lang w:val="it-IT"/>
        </w:rPr>
        <w:t>a</w:t>
      </w:r>
      <w:r w:rsidR="005A0B19" w:rsidRPr="00656794">
        <w:rPr>
          <w:rFonts w:ascii="Arial" w:hAnsi="Arial" w:cs="Arial"/>
          <w:color w:val="000000"/>
          <w:sz w:val="20"/>
          <w:szCs w:val="20"/>
          <w:lang w:val="it-IT"/>
        </w:rPr>
        <w:t xml:space="preserve"> idone</w:t>
      </w:r>
      <w:r w:rsidR="00CE260C" w:rsidRPr="00656794">
        <w:rPr>
          <w:rFonts w:ascii="Arial" w:hAnsi="Arial" w:cs="Arial"/>
          <w:color w:val="000000"/>
          <w:sz w:val="20"/>
          <w:szCs w:val="20"/>
          <w:lang w:val="it-IT"/>
        </w:rPr>
        <w:t>a</w:t>
      </w:r>
      <w:r w:rsidR="005A0B19" w:rsidRPr="00656794">
        <w:rPr>
          <w:rFonts w:ascii="Arial" w:hAnsi="Arial" w:cs="Arial"/>
          <w:color w:val="000000"/>
          <w:sz w:val="20"/>
          <w:szCs w:val="20"/>
          <w:lang w:val="it-IT"/>
        </w:rPr>
        <w:t xml:space="preserve"> per essere utilizzat</w:t>
      </w:r>
      <w:r w:rsidR="00CE260C" w:rsidRPr="00656794">
        <w:rPr>
          <w:rFonts w:ascii="Arial" w:hAnsi="Arial" w:cs="Arial"/>
          <w:color w:val="000000"/>
          <w:sz w:val="20"/>
          <w:szCs w:val="20"/>
          <w:lang w:val="it-IT"/>
        </w:rPr>
        <w:t>a</w:t>
      </w:r>
      <w:r w:rsidR="005A0B19" w:rsidRPr="00656794">
        <w:rPr>
          <w:rFonts w:ascii="Arial" w:hAnsi="Arial" w:cs="Arial"/>
          <w:color w:val="000000"/>
          <w:sz w:val="20"/>
          <w:szCs w:val="20"/>
          <w:lang w:val="it-IT"/>
        </w:rPr>
        <w:t xml:space="preserve"> o invocat</w:t>
      </w:r>
      <w:r w:rsidR="00CE260C" w:rsidRPr="00656794">
        <w:rPr>
          <w:rFonts w:ascii="Arial" w:hAnsi="Arial" w:cs="Arial"/>
          <w:color w:val="000000"/>
          <w:sz w:val="20"/>
          <w:szCs w:val="20"/>
          <w:lang w:val="it-IT"/>
        </w:rPr>
        <w:t>a</w:t>
      </w:r>
      <w:r w:rsidR="005A0B19" w:rsidRPr="00656794">
        <w:rPr>
          <w:rFonts w:ascii="Arial" w:hAnsi="Arial" w:cs="Arial"/>
          <w:color w:val="000000"/>
          <w:sz w:val="20"/>
          <w:szCs w:val="20"/>
          <w:lang w:val="it-IT"/>
        </w:rPr>
        <w:t xml:space="preserve"> da qualsiasi parte che desideri acquisire il diritto di intentare un</w:t>
      </w:r>
      <w:r w:rsidR="00F23A40" w:rsidRPr="00656794">
        <w:rPr>
          <w:rFonts w:ascii="Arial" w:hAnsi="Arial" w:cs="Arial"/>
          <w:color w:val="000000"/>
          <w:sz w:val="20"/>
          <w:szCs w:val="20"/>
          <w:lang w:val="it-IT"/>
        </w:rPr>
        <w:t>’</w:t>
      </w:r>
      <w:r w:rsidR="005A0B19" w:rsidRPr="00656794">
        <w:rPr>
          <w:rFonts w:ascii="Arial" w:hAnsi="Arial" w:cs="Arial"/>
          <w:color w:val="000000"/>
          <w:sz w:val="20"/>
          <w:szCs w:val="20"/>
          <w:lang w:val="it-IT"/>
        </w:rPr>
        <w:t>azione contro KPMG in relazione a qualsiasi altro uso o affidamento</w:t>
      </w:r>
      <w:r w:rsidR="00586D6E">
        <w:rPr>
          <w:rFonts w:ascii="Arial" w:hAnsi="Arial" w:cs="Arial"/>
          <w:color w:val="000000"/>
          <w:sz w:val="20"/>
          <w:szCs w:val="20"/>
          <w:lang w:val="it-IT"/>
        </w:rPr>
        <w:t xml:space="preserve"> della stessa</w:t>
      </w:r>
      <w:r w:rsidR="005A0B19" w:rsidRPr="00656794">
        <w:rPr>
          <w:rFonts w:ascii="Arial" w:hAnsi="Arial" w:cs="Arial"/>
          <w:color w:val="000000"/>
          <w:sz w:val="20"/>
          <w:szCs w:val="20"/>
          <w:lang w:val="it-IT"/>
        </w:rPr>
        <w:t xml:space="preserve">. Nella misura massima consentita dalla legge, KPMG non accetterà alcuna responsabilità in </w:t>
      </w:r>
      <w:r w:rsidR="00CE260C" w:rsidRPr="00656794">
        <w:rPr>
          <w:rFonts w:ascii="Arial" w:hAnsi="Arial" w:cs="Arial"/>
          <w:color w:val="000000"/>
          <w:sz w:val="20"/>
          <w:szCs w:val="20"/>
          <w:lang w:val="it-IT"/>
        </w:rPr>
        <w:t>rapporto</w:t>
      </w:r>
      <w:r w:rsidR="005A0B19" w:rsidRPr="00656794">
        <w:rPr>
          <w:rFonts w:ascii="Arial" w:hAnsi="Arial" w:cs="Arial"/>
          <w:color w:val="000000"/>
          <w:sz w:val="20"/>
          <w:szCs w:val="20"/>
          <w:lang w:val="it-IT"/>
        </w:rPr>
        <w:t xml:space="preserve"> a quest</w:t>
      </w:r>
      <w:r w:rsidR="00CE260C" w:rsidRPr="00656794">
        <w:rPr>
          <w:rFonts w:ascii="Arial" w:hAnsi="Arial" w:cs="Arial"/>
          <w:color w:val="000000"/>
          <w:sz w:val="20"/>
          <w:szCs w:val="20"/>
          <w:lang w:val="it-IT"/>
        </w:rPr>
        <w:t>a</w:t>
      </w:r>
      <w:r w:rsidR="005A0B19"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Relazione</w:t>
      </w:r>
      <w:r w:rsidR="005A0B19" w:rsidRPr="00656794">
        <w:rPr>
          <w:rFonts w:ascii="Arial" w:hAnsi="Arial" w:cs="Arial"/>
          <w:color w:val="000000"/>
          <w:sz w:val="20"/>
          <w:szCs w:val="20"/>
          <w:lang w:val="it-IT"/>
        </w:rPr>
        <w:t xml:space="preserve"> nei confronti di terzi.</w:t>
      </w:r>
    </w:p>
    <w:p w14:paraId="1E79B324" w14:textId="0B4C5F63"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Nel mio ruolo di Attuario Indipendente, nel corso del normale svolgimento di questo ruolo, mi è stata fornita una quantità significativa e appropriata di informazioni e dati sulle attività e le prestazioni delle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Nel formare il mio punto di vista come esposto in quest</w:t>
      </w:r>
      <w:r w:rsidR="00CE260C" w:rsidRPr="00656794">
        <w:rPr>
          <w:rFonts w:ascii="Arial" w:hAnsi="Arial" w:cs="Arial"/>
          <w:color w:val="000000"/>
          <w:sz w:val="20"/>
          <w:szCs w:val="20"/>
          <w:lang w:val="it-IT"/>
        </w:rPr>
        <w:t xml:space="preserve">a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queste divulgazioni e informazioni hanno costituito un contributo necessario e vitale.</w:t>
      </w:r>
    </w:p>
    <w:p w14:paraId="50C92FFB" w14:textId="2AF2B752" w:rsidR="005A0B19" w:rsidRPr="00656794" w:rsidRDefault="00525C00"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presente</w:t>
      </w:r>
      <w:r w:rsidR="005A0B19"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Relazione</w:t>
      </w:r>
      <w:r w:rsidR="005A0B19" w:rsidRPr="00656794">
        <w:rPr>
          <w:rFonts w:ascii="Arial" w:hAnsi="Arial" w:cs="Arial"/>
          <w:color w:val="000000"/>
          <w:sz w:val="20"/>
          <w:szCs w:val="20"/>
          <w:lang w:val="it-IT"/>
        </w:rPr>
        <w:t xml:space="preserve"> si basa sulle informazioni messe a mia disposizione entro il 30 settembre 2021 e non tiene conto degli sviluppi successivi a tale data. Tuttavia, a quanto mi risulta, 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005A0B19" w:rsidRPr="00656794">
        <w:rPr>
          <w:rFonts w:ascii="Arial" w:hAnsi="Arial" w:cs="Arial"/>
          <w:color w:val="000000"/>
          <w:sz w:val="20"/>
          <w:szCs w:val="20"/>
          <w:lang w:val="it-IT"/>
        </w:rPr>
        <w:t xml:space="preserve"> intendono chiedermi di preparare ed emettere una Relazione Integrativa più vicina alla data dell</w:t>
      </w:r>
      <w:r w:rsidR="00F23A40" w:rsidRPr="00656794">
        <w:rPr>
          <w:rFonts w:ascii="Arial" w:hAnsi="Arial" w:cs="Arial"/>
          <w:color w:val="000000"/>
          <w:sz w:val="20"/>
          <w:szCs w:val="20"/>
          <w:lang w:val="it-IT"/>
        </w:rPr>
        <w:t>’</w:t>
      </w:r>
      <w:r w:rsidR="005A0B19" w:rsidRPr="00656794">
        <w:rPr>
          <w:rFonts w:ascii="Arial" w:hAnsi="Arial" w:cs="Arial"/>
          <w:color w:val="000000"/>
          <w:sz w:val="20"/>
          <w:szCs w:val="20"/>
          <w:lang w:val="it-IT"/>
        </w:rPr>
        <w:t>udienza finale in cui sarà chiesto all</w:t>
      </w:r>
      <w:r w:rsidR="00586D6E">
        <w:rPr>
          <w:rFonts w:ascii="Arial" w:hAnsi="Arial" w:cs="Arial"/>
          <w:color w:val="000000"/>
          <w:sz w:val="20"/>
          <w:szCs w:val="20"/>
          <w:lang w:val="it-IT"/>
        </w:rPr>
        <w:t xml:space="preserve">a </w:t>
      </w:r>
      <w:r w:rsidR="00B9172D">
        <w:rPr>
          <w:rFonts w:ascii="Arial" w:hAnsi="Arial" w:cs="Arial"/>
          <w:color w:val="000000"/>
          <w:sz w:val="20"/>
          <w:szCs w:val="20"/>
          <w:lang w:val="it-IT"/>
        </w:rPr>
        <w:t>High Court of Ireland</w:t>
      </w:r>
      <w:r w:rsidR="005A0B19" w:rsidRPr="00656794">
        <w:rPr>
          <w:rFonts w:ascii="Arial" w:hAnsi="Arial" w:cs="Arial"/>
          <w:color w:val="000000"/>
          <w:sz w:val="20"/>
          <w:szCs w:val="20"/>
          <w:lang w:val="it-IT"/>
        </w:rPr>
        <w:t xml:space="preserve"> di esaminare e </w:t>
      </w:r>
      <w:r w:rsidR="00B072AD">
        <w:rPr>
          <w:rFonts w:ascii="Arial" w:hAnsi="Arial" w:cs="Arial"/>
          <w:color w:val="000000"/>
          <w:sz w:val="20"/>
          <w:szCs w:val="20"/>
          <w:lang w:val="it-IT"/>
        </w:rPr>
        <w:t>approvare</w:t>
      </w:r>
      <w:r w:rsidR="005A0B19" w:rsidRPr="00656794">
        <w:rPr>
          <w:rFonts w:ascii="Arial" w:hAnsi="Arial" w:cs="Arial"/>
          <w:color w:val="000000"/>
          <w:sz w:val="20"/>
          <w:szCs w:val="20"/>
          <w:lang w:val="it-IT"/>
        </w:rPr>
        <w:t xml:space="preserve"> </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5A0B19" w:rsidRPr="00656794">
        <w:rPr>
          <w:rFonts w:ascii="Arial" w:hAnsi="Arial" w:cs="Arial"/>
          <w:color w:val="000000"/>
          <w:sz w:val="20"/>
          <w:szCs w:val="20"/>
          <w:lang w:val="it-IT"/>
        </w:rPr>
        <w:t xml:space="preserve"> proposto. Questo è discusso in maggior dettaglio più avanti nel documento.</w:t>
      </w:r>
    </w:p>
    <w:p w14:paraId="38EA9375" w14:textId="759DC231" w:rsidR="005A0B19" w:rsidRPr="00656794" w:rsidRDefault="005A0B19" w:rsidP="005A0B19">
      <w:pPr>
        <w:pStyle w:val="NormalWeb"/>
        <w:spacing w:before="282" w:beforeAutospacing="0" w:after="0" w:afterAutospacing="0"/>
        <w:rPr>
          <w:lang w:val="it-IT"/>
        </w:rPr>
      </w:pPr>
      <w:r w:rsidRPr="00656794">
        <w:rPr>
          <w:rFonts w:ascii="Arial" w:hAnsi="Arial" w:cs="Arial"/>
          <w:b/>
          <w:bCs/>
          <w:color w:val="00338D"/>
          <w:sz w:val="28"/>
          <w:szCs w:val="28"/>
          <w:lang w:val="it-IT"/>
        </w:rPr>
        <w:t xml:space="preserve">1.6 </w:t>
      </w:r>
      <w:r w:rsidR="00CE260C" w:rsidRPr="00656794">
        <w:rPr>
          <w:rFonts w:ascii="Arial" w:hAnsi="Arial" w:cs="Arial"/>
          <w:b/>
          <w:bCs/>
          <w:color w:val="00338D"/>
          <w:sz w:val="28"/>
          <w:szCs w:val="28"/>
          <w:lang w:val="it-IT"/>
        </w:rPr>
        <w:t xml:space="preserve">Limiti di responsabilità e Foro competente </w:t>
      </w:r>
      <w:r w:rsidRPr="00656794">
        <w:rPr>
          <w:rFonts w:ascii="Arial" w:hAnsi="Arial" w:cs="Arial"/>
          <w:b/>
          <w:bCs/>
          <w:color w:val="00338D"/>
          <w:sz w:val="28"/>
          <w:szCs w:val="28"/>
          <w:lang w:val="it-IT"/>
        </w:rPr>
        <w:t> </w:t>
      </w:r>
    </w:p>
    <w:p w14:paraId="6E5634BE" w14:textId="4B0552A4"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Quest</w:t>
      </w:r>
      <w:r w:rsidR="00CE260C" w:rsidRPr="00656794">
        <w:rPr>
          <w:rFonts w:ascii="Arial" w:hAnsi="Arial" w:cs="Arial"/>
          <w:color w:val="000000"/>
          <w:sz w:val="20"/>
          <w:szCs w:val="20"/>
          <w:lang w:val="it-IT"/>
        </w:rPr>
        <w:t>a</w:t>
      </w:r>
      <w:r w:rsidRPr="00656794">
        <w:rPr>
          <w:rFonts w:ascii="Arial" w:hAnsi="Arial" w:cs="Arial"/>
          <w:color w:val="000000"/>
          <w:sz w:val="20"/>
          <w:szCs w:val="20"/>
          <w:lang w:val="it-IT"/>
        </w:rPr>
        <w:t xml:space="preserv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xml:space="preserve"> è soggett</w:t>
      </w:r>
      <w:r w:rsidR="005B7BBB" w:rsidRPr="00656794">
        <w:rPr>
          <w:rFonts w:ascii="Arial" w:hAnsi="Arial" w:cs="Arial"/>
          <w:color w:val="000000"/>
          <w:sz w:val="20"/>
          <w:szCs w:val="20"/>
          <w:lang w:val="it-IT"/>
        </w:rPr>
        <w:t>a</w:t>
      </w:r>
      <w:r w:rsidRPr="00656794">
        <w:rPr>
          <w:rFonts w:ascii="Arial" w:hAnsi="Arial" w:cs="Arial"/>
          <w:color w:val="000000"/>
          <w:sz w:val="20"/>
          <w:szCs w:val="20"/>
          <w:lang w:val="it-IT"/>
        </w:rPr>
        <w:t xml:space="preserve"> ai termini e alle condizioni, inclusa la limitazione di responsabilità e giurisdizione legale, stabiliti nella Lettera di Incarico.</w:t>
      </w:r>
    </w:p>
    <w:p w14:paraId="51F385DA" w14:textId="58C7F544" w:rsidR="005A0B19" w:rsidRPr="00656794" w:rsidRDefault="005A0B19" w:rsidP="005A0B19">
      <w:pPr>
        <w:pStyle w:val="NormalWeb"/>
        <w:spacing w:before="280" w:beforeAutospacing="0" w:after="0" w:afterAutospacing="0"/>
        <w:rPr>
          <w:lang w:val="it-IT"/>
        </w:rPr>
      </w:pPr>
      <w:r w:rsidRPr="00656794">
        <w:rPr>
          <w:rFonts w:ascii="Arial" w:hAnsi="Arial" w:cs="Arial"/>
          <w:b/>
          <w:bCs/>
          <w:color w:val="00338D"/>
          <w:sz w:val="28"/>
          <w:szCs w:val="28"/>
          <w:lang w:val="it-IT"/>
        </w:rPr>
        <w:t>1.7 Termin</w:t>
      </w:r>
      <w:r w:rsidR="00CE260C" w:rsidRPr="00656794">
        <w:rPr>
          <w:rFonts w:ascii="Arial" w:hAnsi="Arial" w:cs="Arial"/>
          <w:b/>
          <w:bCs/>
          <w:color w:val="00338D"/>
          <w:sz w:val="28"/>
          <w:szCs w:val="28"/>
          <w:lang w:val="it-IT"/>
        </w:rPr>
        <w:t>ologia</w:t>
      </w:r>
    </w:p>
    <w:p w14:paraId="6791A15C" w14:textId="34A00873"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Nella mia discussione sugli effetti del</w:t>
      </w:r>
      <w:r w:rsidR="007B453C">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proposto </w:t>
      </w:r>
      <w:r w:rsidR="00DC30A5">
        <w:rPr>
          <w:rFonts w:ascii="Arial" w:hAnsi="Arial" w:cs="Arial"/>
          <w:color w:val="000000"/>
          <w:sz w:val="20"/>
          <w:szCs w:val="20"/>
          <w:lang w:val="it-IT"/>
        </w:rPr>
        <w:t>sui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8A0967">
        <w:rPr>
          <w:rFonts w:ascii="Arial" w:hAnsi="Arial" w:cs="Arial"/>
          <w:color w:val="000000"/>
          <w:sz w:val="20"/>
          <w:szCs w:val="20"/>
          <w:lang w:val="it-IT"/>
        </w:rPr>
        <w:t xml:space="preserve"> in perimetro per il trasferimento</w:t>
      </w:r>
      <w:r w:rsidRPr="00656794">
        <w:rPr>
          <w:rFonts w:ascii="Arial" w:hAnsi="Arial" w:cs="Arial"/>
          <w:color w:val="000000"/>
          <w:sz w:val="20"/>
          <w:szCs w:val="20"/>
          <w:lang w:val="it-IT"/>
        </w:rPr>
        <w:t xml:space="preserve">, utilizzo vari termini tecnici. Le definizioni di questi termini utilizzati in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 xml:space="preserve"> sono contenute nel Glossario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Appendice 6.</w:t>
      </w:r>
    </w:p>
    <w:p w14:paraId="1D85E013" w14:textId="65C86C1C" w:rsidR="005A0B19" w:rsidRPr="00656794" w:rsidRDefault="005A0B19" w:rsidP="005A0B19">
      <w:pPr>
        <w:pStyle w:val="NormalWeb"/>
        <w:spacing w:before="491" w:beforeAutospacing="0" w:after="0" w:afterAutospacing="0"/>
        <w:rPr>
          <w:lang w:val="it-IT"/>
        </w:rPr>
      </w:pPr>
      <w:r w:rsidRPr="00656794">
        <w:rPr>
          <w:rFonts w:ascii="Arial" w:hAnsi="Arial" w:cs="Arial"/>
          <w:b/>
          <w:bCs/>
          <w:color w:val="00338D"/>
          <w:sz w:val="28"/>
          <w:szCs w:val="28"/>
          <w:lang w:val="it-IT"/>
        </w:rPr>
        <w:t xml:space="preserve">1.8 </w:t>
      </w:r>
      <w:r w:rsidR="00CE260C" w:rsidRPr="00656794">
        <w:rPr>
          <w:rFonts w:ascii="Arial" w:hAnsi="Arial" w:cs="Arial"/>
          <w:b/>
          <w:bCs/>
          <w:color w:val="00338D"/>
          <w:sz w:val="28"/>
          <w:szCs w:val="28"/>
          <w:lang w:val="it-IT"/>
        </w:rPr>
        <w:t>Valuta</w:t>
      </w:r>
      <w:r w:rsidRPr="00656794">
        <w:rPr>
          <w:rFonts w:ascii="Arial" w:hAnsi="Arial" w:cs="Arial"/>
          <w:b/>
          <w:bCs/>
          <w:color w:val="00338D"/>
          <w:sz w:val="28"/>
          <w:szCs w:val="28"/>
          <w:lang w:val="it-IT"/>
        </w:rPr>
        <w:t> </w:t>
      </w:r>
    </w:p>
    <w:p w14:paraId="55D17EC1" w14:textId="56731A6E"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Ho identificato chiaramente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attualità dei dati presentati in tutt</w:t>
      </w:r>
      <w:r w:rsidR="00CE260C" w:rsidRPr="00656794">
        <w:rPr>
          <w:rFonts w:ascii="Arial" w:hAnsi="Arial" w:cs="Arial"/>
          <w:color w:val="000000"/>
          <w:sz w:val="20"/>
          <w:szCs w:val="20"/>
          <w:lang w:val="it-IT"/>
        </w:rPr>
        <w:t xml:space="preserve">a </w:t>
      </w:r>
      <w:r w:rsidR="00525C00" w:rsidRPr="00656794">
        <w:rPr>
          <w:rFonts w:ascii="Arial" w:hAnsi="Arial" w:cs="Arial"/>
          <w:color w:val="000000"/>
          <w:sz w:val="20"/>
          <w:szCs w:val="20"/>
          <w:lang w:val="it-IT"/>
        </w:rPr>
        <w:t>la Relazione</w:t>
      </w:r>
      <w:r w:rsidRPr="00656794">
        <w:rPr>
          <w:rFonts w:ascii="Arial" w:hAnsi="Arial" w:cs="Arial"/>
          <w:color w:val="000000"/>
          <w:sz w:val="20"/>
          <w:szCs w:val="20"/>
          <w:lang w:val="it-IT"/>
        </w:rPr>
        <w:t xml:space="preserve">. Tutte le cifre sono presentate in </w:t>
      </w:r>
      <w:r w:rsidR="00CE260C" w:rsidRPr="00656794">
        <w:rPr>
          <w:rFonts w:ascii="Arial" w:hAnsi="Arial" w:cs="Arial"/>
          <w:color w:val="000000"/>
          <w:sz w:val="20"/>
          <w:szCs w:val="20"/>
          <w:lang w:val="it-IT"/>
        </w:rPr>
        <w:t>euro</w:t>
      </w:r>
      <w:r w:rsidRPr="00656794">
        <w:rPr>
          <w:rFonts w:ascii="Arial" w:hAnsi="Arial" w:cs="Arial"/>
          <w:color w:val="000000"/>
          <w:sz w:val="20"/>
          <w:szCs w:val="20"/>
          <w:lang w:val="it-IT"/>
        </w:rPr>
        <w:t xml:space="preserve"> (€) se non diversamente indicato.</w:t>
      </w:r>
    </w:p>
    <w:p w14:paraId="24AFDFE5" w14:textId="0A2D0C17" w:rsidR="005A0B19" w:rsidRPr="00656794" w:rsidRDefault="005A0B19" w:rsidP="005A0B19">
      <w:pPr>
        <w:pStyle w:val="NormalWeb"/>
        <w:ind w:right="102"/>
        <w:jc w:val="both"/>
        <w:rPr>
          <w:rFonts w:ascii="Arial" w:hAnsi="Arial" w:cs="Arial"/>
          <w:color w:val="000000"/>
          <w:sz w:val="20"/>
          <w:szCs w:val="20"/>
          <w:lang w:val="it-IT"/>
        </w:rPr>
      </w:pPr>
    </w:p>
    <w:p w14:paraId="7D359529" w14:textId="0BA838B0" w:rsidR="005A0B19" w:rsidRPr="00656794" w:rsidRDefault="005A0B19" w:rsidP="005A0B19">
      <w:pPr>
        <w:pStyle w:val="NormalWeb"/>
        <w:ind w:right="102"/>
        <w:jc w:val="both"/>
        <w:rPr>
          <w:rFonts w:ascii="Arial" w:hAnsi="Arial" w:cs="Arial"/>
          <w:color w:val="000000"/>
          <w:sz w:val="20"/>
          <w:szCs w:val="20"/>
          <w:lang w:val="it-IT"/>
        </w:rPr>
      </w:pPr>
    </w:p>
    <w:p w14:paraId="4F9375E7" w14:textId="671F0112" w:rsidR="005A0B19" w:rsidRPr="00656794" w:rsidRDefault="005A0B19" w:rsidP="005A0B19">
      <w:pPr>
        <w:pStyle w:val="NormalWeb"/>
        <w:ind w:right="102"/>
        <w:jc w:val="both"/>
        <w:rPr>
          <w:rFonts w:ascii="Arial" w:hAnsi="Arial" w:cs="Arial"/>
          <w:color w:val="000000"/>
          <w:sz w:val="20"/>
          <w:szCs w:val="20"/>
          <w:lang w:val="it-IT"/>
        </w:rPr>
      </w:pPr>
    </w:p>
    <w:p w14:paraId="2B790DCB" w14:textId="5E13010E" w:rsidR="005A0B19" w:rsidRPr="00656794" w:rsidRDefault="005A0B19" w:rsidP="005A0B19">
      <w:pPr>
        <w:pStyle w:val="NormalWeb"/>
        <w:ind w:right="102"/>
        <w:jc w:val="both"/>
        <w:rPr>
          <w:rFonts w:ascii="Arial" w:hAnsi="Arial" w:cs="Arial"/>
          <w:color w:val="000000"/>
          <w:sz w:val="20"/>
          <w:szCs w:val="20"/>
          <w:lang w:val="it-IT"/>
        </w:rPr>
      </w:pPr>
    </w:p>
    <w:p w14:paraId="1A1C6DE6" w14:textId="4FB0D50A" w:rsidR="005A0B19" w:rsidRPr="00656794" w:rsidRDefault="005A0B19" w:rsidP="005A0B19">
      <w:pPr>
        <w:pStyle w:val="NormalWeb"/>
        <w:ind w:right="102"/>
        <w:jc w:val="both"/>
        <w:rPr>
          <w:rFonts w:ascii="Arial" w:hAnsi="Arial" w:cs="Arial"/>
          <w:color w:val="000000"/>
          <w:sz w:val="20"/>
          <w:szCs w:val="20"/>
          <w:lang w:val="it-IT"/>
        </w:rPr>
      </w:pPr>
    </w:p>
    <w:p w14:paraId="46902474" w14:textId="77777777" w:rsidR="002A391E" w:rsidRDefault="002A391E" w:rsidP="005A0B19">
      <w:pPr>
        <w:pStyle w:val="NormalWeb"/>
        <w:ind w:right="102"/>
        <w:jc w:val="both"/>
        <w:rPr>
          <w:rFonts w:ascii="Arial" w:hAnsi="Arial" w:cs="Arial"/>
          <w:color w:val="000000"/>
          <w:sz w:val="20"/>
          <w:szCs w:val="20"/>
          <w:lang w:val="it-IT"/>
        </w:rPr>
      </w:pPr>
    </w:p>
    <w:p w14:paraId="3FDBAE71" w14:textId="77777777" w:rsidR="002A391E" w:rsidRDefault="002A391E" w:rsidP="005A0B19">
      <w:pPr>
        <w:pStyle w:val="NormalWeb"/>
        <w:ind w:right="102"/>
        <w:jc w:val="both"/>
        <w:rPr>
          <w:rFonts w:ascii="Arial" w:hAnsi="Arial" w:cs="Arial"/>
          <w:color w:val="000000"/>
          <w:sz w:val="20"/>
          <w:szCs w:val="20"/>
          <w:lang w:val="it-IT"/>
        </w:rPr>
      </w:pPr>
    </w:p>
    <w:p w14:paraId="61BFEFF4" w14:textId="77777777" w:rsidR="002A391E" w:rsidRDefault="002A391E" w:rsidP="005A0B19">
      <w:pPr>
        <w:pStyle w:val="NormalWeb"/>
        <w:ind w:right="102"/>
        <w:jc w:val="both"/>
        <w:rPr>
          <w:rFonts w:ascii="Arial" w:hAnsi="Arial" w:cs="Arial"/>
          <w:color w:val="000000"/>
          <w:sz w:val="20"/>
          <w:szCs w:val="20"/>
          <w:lang w:val="it-IT"/>
        </w:rPr>
      </w:pPr>
    </w:p>
    <w:p w14:paraId="25492791" w14:textId="77777777" w:rsidR="002A391E" w:rsidRDefault="002A391E" w:rsidP="005A0B19">
      <w:pPr>
        <w:pStyle w:val="NormalWeb"/>
        <w:ind w:right="102"/>
        <w:jc w:val="both"/>
        <w:rPr>
          <w:rFonts w:ascii="Arial" w:hAnsi="Arial" w:cs="Arial"/>
          <w:color w:val="000000"/>
          <w:sz w:val="20"/>
          <w:szCs w:val="20"/>
          <w:lang w:val="it-IT"/>
        </w:rPr>
      </w:pPr>
    </w:p>
    <w:p w14:paraId="41526CD0" w14:textId="77777777" w:rsidR="002A391E" w:rsidRPr="00656794" w:rsidRDefault="002A391E" w:rsidP="005A0B19">
      <w:pPr>
        <w:pStyle w:val="NormalWeb"/>
        <w:ind w:right="102"/>
        <w:jc w:val="both"/>
        <w:rPr>
          <w:rFonts w:ascii="Arial" w:hAnsi="Arial" w:cs="Arial"/>
          <w:color w:val="000000"/>
          <w:sz w:val="20"/>
          <w:szCs w:val="20"/>
          <w:lang w:val="it-IT"/>
        </w:rPr>
      </w:pPr>
    </w:p>
    <w:p w14:paraId="4E41B8D8" w14:textId="7046CCC1" w:rsidR="005A0B19" w:rsidRPr="00656794" w:rsidRDefault="005A0B19" w:rsidP="00CD32BD">
      <w:pPr>
        <w:pStyle w:val="NormalWeb"/>
        <w:spacing w:before="0" w:beforeAutospacing="0" w:after="0" w:afterAutospacing="0"/>
        <w:rPr>
          <w:rFonts w:ascii="Arial" w:hAnsi="Arial" w:cs="Arial"/>
          <w:b/>
          <w:bCs/>
          <w:color w:val="00338D"/>
          <w:sz w:val="56"/>
          <w:szCs w:val="56"/>
          <w:lang w:val="it-IT"/>
        </w:rPr>
      </w:pPr>
      <w:r w:rsidRPr="00656794">
        <w:rPr>
          <w:rFonts w:ascii="Arial" w:hAnsi="Arial" w:cs="Arial"/>
          <w:b/>
          <w:bCs/>
          <w:color w:val="00338D"/>
          <w:sz w:val="56"/>
          <w:szCs w:val="56"/>
          <w:lang w:val="it-IT"/>
        </w:rPr>
        <w:lastRenderedPageBreak/>
        <w:t xml:space="preserve">2 </w:t>
      </w:r>
      <w:r w:rsidR="00CE260C" w:rsidRPr="00656794">
        <w:rPr>
          <w:rFonts w:ascii="Arial" w:hAnsi="Arial" w:cs="Arial"/>
          <w:b/>
          <w:bCs/>
          <w:color w:val="00338D"/>
          <w:sz w:val="56"/>
          <w:szCs w:val="56"/>
          <w:lang w:val="it-IT"/>
        </w:rPr>
        <w:t xml:space="preserve">Riepilogo esecutivo e conclusioni </w:t>
      </w:r>
      <w:r w:rsidRPr="00656794">
        <w:rPr>
          <w:rFonts w:ascii="Arial" w:hAnsi="Arial" w:cs="Arial"/>
          <w:b/>
          <w:bCs/>
          <w:color w:val="00338D"/>
          <w:sz w:val="56"/>
          <w:szCs w:val="56"/>
          <w:lang w:val="it-IT"/>
        </w:rPr>
        <w:t> </w:t>
      </w:r>
    </w:p>
    <w:p w14:paraId="2A936E4B" w14:textId="6DB7363B" w:rsidR="005A0B19" w:rsidRPr="00656794" w:rsidRDefault="005A0B19" w:rsidP="005A0B19">
      <w:pPr>
        <w:pStyle w:val="NormalWeb"/>
        <w:tabs>
          <w:tab w:val="center" w:pos="5030"/>
        </w:tabs>
        <w:spacing w:before="531" w:beforeAutospacing="0" w:after="0" w:afterAutospacing="0"/>
        <w:rPr>
          <w:rFonts w:ascii="Arial" w:hAnsi="Arial" w:cs="Arial"/>
          <w:b/>
          <w:bCs/>
          <w:color w:val="00338D"/>
          <w:sz w:val="28"/>
          <w:szCs w:val="28"/>
          <w:lang w:val="it-IT"/>
        </w:rPr>
      </w:pPr>
      <w:r w:rsidRPr="00656794">
        <w:rPr>
          <w:rFonts w:ascii="Arial" w:hAnsi="Arial" w:cs="Arial"/>
          <w:b/>
          <w:bCs/>
          <w:color w:val="00338D"/>
          <w:sz w:val="28"/>
          <w:szCs w:val="28"/>
          <w:lang w:val="it-IT"/>
        </w:rPr>
        <w:t xml:space="preserve">2.1 </w:t>
      </w:r>
      <w:r w:rsidR="00CE260C" w:rsidRPr="00656794">
        <w:rPr>
          <w:rFonts w:ascii="Arial" w:hAnsi="Arial" w:cs="Arial"/>
          <w:b/>
          <w:bCs/>
          <w:color w:val="00338D"/>
          <w:sz w:val="28"/>
          <w:szCs w:val="28"/>
          <w:lang w:val="it-IT"/>
        </w:rPr>
        <w:t>Riepilogo esecutivo</w:t>
      </w:r>
      <w:r w:rsidRPr="00656794">
        <w:rPr>
          <w:rFonts w:ascii="Arial" w:hAnsi="Arial" w:cs="Arial"/>
          <w:b/>
          <w:bCs/>
          <w:color w:val="00338D"/>
          <w:sz w:val="28"/>
          <w:szCs w:val="28"/>
          <w:lang w:val="it-IT"/>
        </w:rPr>
        <w:t xml:space="preserve">  </w:t>
      </w:r>
    </w:p>
    <w:p w14:paraId="77D788A8" w14:textId="013A6FFB" w:rsidR="005A0B19" w:rsidRPr="00656794" w:rsidRDefault="005A0B19" w:rsidP="005A0B19">
      <w:pPr>
        <w:pStyle w:val="NormalWeb"/>
        <w:spacing w:before="138" w:beforeAutospacing="0" w:after="0" w:afterAutospacing="0"/>
        <w:rPr>
          <w:lang w:val="it-IT"/>
        </w:rPr>
      </w:pPr>
      <w:r w:rsidRPr="00656794">
        <w:rPr>
          <w:rFonts w:ascii="Arial" w:hAnsi="Arial" w:cs="Arial"/>
          <w:color w:val="00338D"/>
          <w:lang w:val="it-IT"/>
        </w:rPr>
        <w:t xml:space="preserve">2.1.1 </w:t>
      </w:r>
      <w:r w:rsidR="00757DE6" w:rsidRPr="00656794">
        <w:rPr>
          <w:rFonts w:ascii="Arial" w:hAnsi="Arial" w:cs="Arial"/>
          <w:color w:val="00338D"/>
          <w:lang w:val="it-IT"/>
        </w:rPr>
        <w:t>Panoramica</w:t>
      </w:r>
      <w:r w:rsidRPr="00656794">
        <w:rPr>
          <w:rFonts w:ascii="Arial" w:hAnsi="Arial" w:cs="Arial"/>
          <w:color w:val="00338D"/>
          <w:lang w:val="it-IT"/>
        </w:rPr>
        <w:t> </w:t>
      </w:r>
    </w:p>
    <w:p w14:paraId="4A5D1CBF" w14:textId="28601BC2" w:rsidR="005A0B19" w:rsidRPr="00656794" w:rsidRDefault="005A0B19" w:rsidP="005A0B19">
      <w:pPr>
        <w:pStyle w:val="NormalWeb"/>
        <w:tabs>
          <w:tab w:val="center" w:pos="5030"/>
        </w:tabs>
        <w:spacing w:before="531" w:beforeAutospacing="0" w:after="0" w:afterAutospacing="0"/>
        <w:jc w:val="both"/>
        <w:rPr>
          <w:rFonts w:ascii="Arial" w:hAnsi="Arial" w:cs="Arial"/>
          <w:color w:val="00338D"/>
          <w:sz w:val="28"/>
          <w:szCs w:val="28"/>
          <w:lang w:val="it-IT"/>
        </w:rPr>
      </w:pPr>
      <w:r w:rsidRPr="00656794">
        <w:rPr>
          <w:rFonts w:ascii="Arial" w:hAnsi="Arial" w:cs="Arial"/>
          <w:color w:val="000000" w:themeColor="text1"/>
          <w:sz w:val="20"/>
          <w:szCs w:val="20"/>
          <w:lang w:val="it-IT"/>
        </w:rPr>
        <w:t xml:space="preserve">È stato raggiunto un accordo tra ZLAP e ZIL per la cessione del portafoglio italiano </w:t>
      </w:r>
      <w:r w:rsidR="008A525A" w:rsidRPr="00656794">
        <w:rPr>
          <w:rFonts w:ascii="Arial" w:hAnsi="Arial" w:cs="Arial"/>
          <w:color w:val="000000" w:themeColor="text1"/>
          <w:sz w:val="20"/>
          <w:szCs w:val="20"/>
          <w:lang w:val="it-IT"/>
        </w:rPr>
        <w:t>unit-linked</w:t>
      </w:r>
      <w:r w:rsidRPr="00656794">
        <w:rPr>
          <w:rFonts w:ascii="Arial" w:hAnsi="Arial" w:cs="Arial"/>
          <w:color w:val="000000" w:themeColor="text1"/>
          <w:sz w:val="20"/>
          <w:szCs w:val="20"/>
          <w:lang w:val="it-IT"/>
        </w:rPr>
        <w:t xml:space="preserve"> di ZLAP a ZIL mediante un trasferimento di portafoglio (la struttura sottostante dell</w:t>
      </w:r>
      <w:r w:rsidR="00F23A40" w:rsidRPr="00656794">
        <w:rPr>
          <w:rFonts w:ascii="Arial" w:hAnsi="Arial" w:cs="Arial"/>
          <w:color w:val="000000" w:themeColor="text1"/>
          <w:sz w:val="20"/>
          <w:szCs w:val="20"/>
          <w:lang w:val="it-IT"/>
        </w:rPr>
        <w:t>’</w:t>
      </w:r>
      <w:r w:rsidR="00A82666">
        <w:rPr>
          <w:rFonts w:ascii="Arial" w:hAnsi="Arial" w:cs="Arial"/>
          <w:color w:val="000000" w:themeColor="text1"/>
          <w:sz w:val="20"/>
          <w:szCs w:val="20"/>
          <w:lang w:val="it-IT"/>
        </w:rPr>
        <w:t>Atto di Trasferimento</w:t>
      </w:r>
      <w:r w:rsidRPr="00656794">
        <w:rPr>
          <w:rFonts w:ascii="Arial" w:hAnsi="Arial" w:cs="Arial"/>
          <w:color w:val="000000" w:themeColor="text1"/>
          <w:sz w:val="20"/>
          <w:szCs w:val="20"/>
          <w:lang w:val="it-IT"/>
        </w:rPr>
        <w:t xml:space="preserve"> è un </w:t>
      </w:r>
      <w:r w:rsidR="00A82666">
        <w:rPr>
          <w:rFonts w:ascii="Arial" w:hAnsi="Arial" w:cs="Arial"/>
          <w:color w:val="000000" w:themeColor="text1"/>
          <w:sz w:val="20"/>
          <w:szCs w:val="20"/>
          <w:lang w:val="it-IT"/>
        </w:rPr>
        <w:t>conferimento in natura di ramo d’azienda</w:t>
      </w:r>
      <w:r w:rsidR="00A82666" w:rsidRPr="00656794">
        <w:rPr>
          <w:rFonts w:ascii="Arial" w:hAnsi="Arial" w:cs="Arial"/>
          <w:color w:val="000000" w:themeColor="text1"/>
          <w:sz w:val="20"/>
          <w:szCs w:val="20"/>
          <w:lang w:val="it-IT"/>
        </w:rPr>
        <w:t xml:space="preserve"> </w:t>
      </w:r>
      <w:r w:rsidRPr="00656794">
        <w:rPr>
          <w:rFonts w:ascii="Arial" w:hAnsi="Arial" w:cs="Arial"/>
          <w:color w:val="000000" w:themeColor="text1"/>
          <w:sz w:val="20"/>
          <w:szCs w:val="20"/>
          <w:lang w:val="it-IT"/>
        </w:rPr>
        <w:t xml:space="preserve">basato su una valutazione della continuità aziendale, come definita </w:t>
      </w:r>
      <w:r w:rsidR="002A2E30">
        <w:rPr>
          <w:rFonts w:ascii="Arial" w:hAnsi="Arial" w:cs="Arial"/>
          <w:color w:val="000000" w:themeColor="text1"/>
          <w:sz w:val="20"/>
          <w:szCs w:val="20"/>
          <w:lang w:val="it-IT"/>
        </w:rPr>
        <w:t>da</w:t>
      </w:r>
      <w:r w:rsidRPr="00656794">
        <w:rPr>
          <w:rFonts w:ascii="Arial" w:hAnsi="Arial" w:cs="Arial"/>
          <w:color w:val="000000" w:themeColor="text1"/>
          <w:sz w:val="20"/>
          <w:szCs w:val="20"/>
          <w:lang w:val="it-IT"/>
        </w:rPr>
        <w:t xml:space="preserve"> entrambe le parti coinvolte nell</w:t>
      </w:r>
      <w:r w:rsidR="00F23A40" w:rsidRPr="00656794">
        <w:rPr>
          <w:rFonts w:ascii="Arial" w:hAnsi="Arial" w:cs="Arial"/>
          <w:color w:val="000000" w:themeColor="text1"/>
          <w:sz w:val="20"/>
          <w:szCs w:val="20"/>
          <w:lang w:val="it-IT"/>
        </w:rPr>
        <w:t>’</w:t>
      </w:r>
      <w:r w:rsidR="00A82666">
        <w:rPr>
          <w:rFonts w:ascii="Arial" w:hAnsi="Arial" w:cs="Arial"/>
          <w:color w:val="000000" w:themeColor="text1"/>
          <w:sz w:val="20"/>
          <w:szCs w:val="20"/>
          <w:lang w:val="it-IT"/>
        </w:rPr>
        <w:t>Atto di Trasferimento</w:t>
      </w:r>
      <w:r w:rsidRPr="00656794">
        <w:rPr>
          <w:rFonts w:ascii="Arial" w:hAnsi="Arial" w:cs="Arial"/>
          <w:color w:val="000000" w:themeColor="text1"/>
          <w:sz w:val="20"/>
          <w:szCs w:val="20"/>
          <w:lang w:val="it-IT"/>
        </w:rPr>
        <w:t>) delle relative attività e passività di polizza (</w:t>
      </w:r>
      <w:r w:rsidR="004369FF">
        <w:rPr>
          <w:rFonts w:ascii="Arial" w:hAnsi="Arial" w:cs="Arial"/>
          <w:color w:val="000000" w:themeColor="text1"/>
          <w:sz w:val="20"/>
          <w:szCs w:val="20"/>
          <w:lang w:val="it-IT"/>
        </w:rPr>
        <w:t>l’</w:t>
      </w:r>
      <w:r w:rsidR="00F23A40" w:rsidRPr="00656794">
        <w:rPr>
          <w:rFonts w:ascii="Arial" w:hAnsi="Arial" w:cs="Arial"/>
          <w:color w:val="000000" w:themeColor="text1"/>
          <w:sz w:val="20"/>
          <w:szCs w:val="20"/>
          <w:lang w:val="it-IT"/>
        </w:rPr>
        <w:t>“</w:t>
      </w:r>
      <w:r w:rsidR="00AE4256">
        <w:rPr>
          <w:rFonts w:ascii="Arial" w:hAnsi="Arial" w:cs="Arial"/>
          <w:color w:val="000000" w:themeColor="text1"/>
          <w:sz w:val="20"/>
          <w:szCs w:val="20"/>
          <w:lang w:val="it-IT"/>
        </w:rPr>
        <w:t>Atto di Trasferimento</w:t>
      </w:r>
      <w:r w:rsidR="00F23A40" w:rsidRPr="00656794">
        <w:rPr>
          <w:rFonts w:ascii="Arial" w:hAnsi="Arial" w:cs="Arial"/>
          <w:color w:val="000000" w:themeColor="text1"/>
          <w:sz w:val="20"/>
          <w:szCs w:val="20"/>
          <w:lang w:val="it-IT"/>
        </w:rPr>
        <w:t>”</w:t>
      </w:r>
      <w:r w:rsidRPr="00656794">
        <w:rPr>
          <w:rFonts w:ascii="Arial" w:hAnsi="Arial" w:cs="Arial"/>
          <w:color w:val="000000" w:themeColor="text1"/>
          <w:sz w:val="20"/>
          <w:szCs w:val="20"/>
          <w:lang w:val="it-IT"/>
        </w:rPr>
        <w:t xml:space="preserve">). </w:t>
      </w:r>
      <w:r w:rsidR="00525C00" w:rsidRPr="00656794">
        <w:rPr>
          <w:rFonts w:ascii="Arial" w:hAnsi="Arial" w:cs="Arial"/>
          <w:color w:val="000000" w:themeColor="text1"/>
          <w:sz w:val="20"/>
          <w:szCs w:val="20"/>
          <w:lang w:val="it-IT"/>
        </w:rPr>
        <w:t>La presente</w:t>
      </w:r>
      <w:r w:rsidRPr="00656794">
        <w:rPr>
          <w:rFonts w:ascii="Arial" w:hAnsi="Arial" w:cs="Arial"/>
          <w:color w:val="000000" w:themeColor="text1"/>
          <w:sz w:val="20"/>
          <w:szCs w:val="20"/>
          <w:lang w:val="it-IT"/>
        </w:rPr>
        <w:t xml:space="preserve"> </w:t>
      </w:r>
      <w:r w:rsidR="00525C00" w:rsidRPr="00656794">
        <w:rPr>
          <w:rFonts w:ascii="Arial" w:hAnsi="Arial" w:cs="Arial"/>
          <w:color w:val="000000" w:themeColor="text1"/>
          <w:sz w:val="20"/>
          <w:szCs w:val="20"/>
          <w:lang w:val="it-IT"/>
        </w:rPr>
        <w:t>Relazione</w:t>
      </w:r>
      <w:r w:rsidRPr="00656794">
        <w:rPr>
          <w:rFonts w:ascii="Arial" w:hAnsi="Arial" w:cs="Arial"/>
          <w:color w:val="000000" w:themeColor="text1"/>
          <w:sz w:val="20"/>
          <w:szCs w:val="20"/>
          <w:lang w:val="it-IT"/>
        </w:rPr>
        <w:t xml:space="preserve"> considera l</w:t>
      </w:r>
      <w:r w:rsidR="00F23A40" w:rsidRPr="00656794">
        <w:rPr>
          <w:rFonts w:ascii="Arial" w:hAnsi="Arial" w:cs="Arial"/>
          <w:color w:val="000000" w:themeColor="text1"/>
          <w:sz w:val="20"/>
          <w:szCs w:val="20"/>
          <w:lang w:val="it-IT"/>
        </w:rPr>
        <w:t>’</w:t>
      </w:r>
      <w:r w:rsidRPr="00656794">
        <w:rPr>
          <w:rFonts w:ascii="Arial" w:hAnsi="Arial" w:cs="Arial"/>
          <w:color w:val="000000" w:themeColor="text1"/>
          <w:sz w:val="20"/>
          <w:szCs w:val="20"/>
          <w:lang w:val="it-IT"/>
        </w:rPr>
        <w:t xml:space="preserve">impatto della proposta di trasferimento delle polizze </w:t>
      </w:r>
      <w:r w:rsidR="008A525A" w:rsidRPr="00656794">
        <w:rPr>
          <w:rFonts w:ascii="Arial" w:hAnsi="Arial" w:cs="Arial"/>
          <w:color w:val="000000" w:themeColor="text1"/>
          <w:sz w:val="20"/>
          <w:szCs w:val="20"/>
          <w:lang w:val="it-IT"/>
        </w:rPr>
        <w:t>unit-linked</w:t>
      </w:r>
      <w:r w:rsidRPr="00656794">
        <w:rPr>
          <w:rFonts w:ascii="Arial" w:hAnsi="Arial" w:cs="Arial"/>
          <w:color w:val="000000" w:themeColor="text1"/>
          <w:sz w:val="20"/>
          <w:szCs w:val="20"/>
          <w:lang w:val="it-IT"/>
        </w:rPr>
        <w:t xml:space="preserve"> italiane da ZLAP a ZIL.</w:t>
      </w:r>
      <w:r w:rsidRPr="00656794">
        <w:rPr>
          <w:rFonts w:ascii="Arial" w:hAnsi="Arial" w:cs="Arial"/>
          <w:color w:val="00338D"/>
          <w:sz w:val="28"/>
          <w:szCs w:val="28"/>
          <w:lang w:val="it-IT"/>
        </w:rPr>
        <w:tab/>
      </w:r>
    </w:p>
    <w:p w14:paraId="1E022EB3" w14:textId="0A15B866" w:rsidR="005A0B19" w:rsidRPr="00656794" w:rsidRDefault="005A0B19" w:rsidP="005A0B19">
      <w:pPr>
        <w:pStyle w:val="NormalWeb"/>
        <w:tabs>
          <w:tab w:val="center" w:pos="5030"/>
        </w:tabs>
        <w:spacing w:before="531" w:beforeAutospacing="0" w:after="0" w:afterAutospacing="0"/>
        <w:jc w:val="both"/>
        <w:rPr>
          <w:rFonts w:ascii="Arial" w:hAnsi="Arial" w:cs="Arial"/>
          <w:color w:val="00338D"/>
          <w:lang w:val="it-IT"/>
        </w:rPr>
      </w:pPr>
      <w:r w:rsidRPr="00656794">
        <w:rPr>
          <w:rFonts w:ascii="Arial" w:hAnsi="Arial" w:cs="Arial"/>
          <w:color w:val="00338D"/>
          <w:lang w:val="it-IT"/>
        </w:rPr>
        <w:t xml:space="preserve">2.1.2 </w:t>
      </w:r>
      <w:r w:rsidR="00757DE6" w:rsidRPr="00656794">
        <w:rPr>
          <w:rFonts w:ascii="Arial" w:hAnsi="Arial" w:cs="Arial"/>
          <w:color w:val="00338D"/>
          <w:lang w:val="it-IT"/>
        </w:rPr>
        <w:t xml:space="preserve">Motivazione per il </w:t>
      </w:r>
      <w:r w:rsidR="00AE4256">
        <w:rPr>
          <w:rFonts w:ascii="Arial" w:hAnsi="Arial" w:cs="Arial"/>
          <w:color w:val="00338D"/>
          <w:lang w:val="it-IT"/>
        </w:rPr>
        <w:t>Atto di Trasferimento</w:t>
      </w:r>
      <w:r w:rsidR="00757DE6" w:rsidRPr="00656794">
        <w:rPr>
          <w:rFonts w:ascii="Arial" w:hAnsi="Arial" w:cs="Arial"/>
          <w:color w:val="00338D"/>
          <w:lang w:val="it-IT"/>
        </w:rPr>
        <w:t xml:space="preserve"> proposto</w:t>
      </w:r>
    </w:p>
    <w:p w14:paraId="42A4AFC0" w14:textId="55E44ABC" w:rsidR="005A0B19" w:rsidRPr="00656794" w:rsidRDefault="005A0B19" w:rsidP="005A0B19">
      <w:pPr>
        <w:pStyle w:val="NormalWeb"/>
        <w:tabs>
          <w:tab w:val="center" w:pos="5030"/>
        </w:tabs>
        <w:spacing w:before="531" w:after="0"/>
        <w:jc w:val="both"/>
        <w:rPr>
          <w:rFonts w:ascii="Arial" w:hAnsi="Arial" w:cs="Arial"/>
          <w:color w:val="000000" w:themeColor="text1"/>
          <w:sz w:val="20"/>
          <w:szCs w:val="20"/>
          <w:lang w:val="it-IT"/>
        </w:rPr>
      </w:pPr>
      <w:r w:rsidRPr="00656794">
        <w:rPr>
          <w:rFonts w:ascii="Arial" w:hAnsi="Arial" w:cs="Arial"/>
          <w:color w:val="000000" w:themeColor="text1"/>
          <w:sz w:val="20"/>
          <w:szCs w:val="20"/>
          <w:lang w:val="it-IT"/>
        </w:rPr>
        <w:t>Sebbene non sia una considerazione diretta per me come Attuario Indipendente, è comunque rilevante per me essere a conoscenza della logica del</w:t>
      </w:r>
      <w:r w:rsidR="004369FF">
        <w:rPr>
          <w:rFonts w:ascii="Arial" w:hAnsi="Arial" w:cs="Arial"/>
          <w:color w:val="000000" w:themeColor="text1"/>
          <w:sz w:val="20"/>
          <w:szCs w:val="20"/>
          <w:lang w:val="it-IT"/>
        </w:rPr>
        <w:t>l’</w:t>
      </w:r>
      <w:r w:rsidR="00AE4256">
        <w:rPr>
          <w:rFonts w:ascii="Arial" w:hAnsi="Arial" w:cs="Arial"/>
          <w:color w:val="000000" w:themeColor="text1"/>
          <w:sz w:val="20"/>
          <w:szCs w:val="20"/>
          <w:lang w:val="it-IT"/>
        </w:rPr>
        <w:t>Atto di Trasferimento</w:t>
      </w:r>
      <w:r w:rsidRPr="00656794">
        <w:rPr>
          <w:rFonts w:ascii="Arial" w:hAnsi="Arial" w:cs="Arial"/>
          <w:color w:val="000000" w:themeColor="text1"/>
          <w:sz w:val="20"/>
          <w:szCs w:val="20"/>
          <w:lang w:val="it-IT"/>
        </w:rPr>
        <w:t>.</w:t>
      </w:r>
    </w:p>
    <w:p w14:paraId="42F731D7" w14:textId="37D864CF" w:rsidR="005A0B19" w:rsidRPr="00656794" w:rsidRDefault="005A0B19" w:rsidP="005A0B19">
      <w:pPr>
        <w:pStyle w:val="NormalWeb"/>
        <w:tabs>
          <w:tab w:val="center" w:pos="5030"/>
        </w:tabs>
        <w:spacing w:before="531" w:after="0"/>
        <w:jc w:val="both"/>
        <w:rPr>
          <w:rFonts w:ascii="Arial" w:hAnsi="Arial" w:cs="Arial"/>
          <w:color w:val="000000" w:themeColor="text1"/>
          <w:sz w:val="20"/>
          <w:szCs w:val="20"/>
          <w:lang w:val="it-IT"/>
        </w:rPr>
      </w:pPr>
      <w:r w:rsidRPr="00656794">
        <w:rPr>
          <w:rFonts w:ascii="Arial" w:hAnsi="Arial" w:cs="Arial"/>
          <w:color w:val="000000" w:themeColor="text1"/>
          <w:sz w:val="20"/>
          <w:szCs w:val="20"/>
          <w:lang w:val="it-IT"/>
        </w:rPr>
        <w:t xml:space="preserve">ZLAP ha deciso di trasferire </w:t>
      </w:r>
      <w:r w:rsidR="00AC4CF1" w:rsidRPr="00AC4CF1">
        <w:rPr>
          <w:rFonts w:ascii="Arial" w:hAnsi="Arial" w:cs="Arial"/>
          <w:color w:val="000000" w:themeColor="text1"/>
          <w:sz w:val="20"/>
          <w:szCs w:val="20"/>
          <w:lang w:val="it-IT"/>
        </w:rPr>
        <w:t xml:space="preserve">il </w:t>
      </w:r>
      <w:r w:rsidR="00AC4CF1">
        <w:rPr>
          <w:rFonts w:ascii="Arial" w:hAnsi="Arial" w:cs="Arial"/>
          <w:color w:val="000000" w:themeColor="text1"/>
          <w:sz w:val="20"/>
          <w:szCs w:val="20"/>
          <w:lang w:val="it-IT"/>
        </w:rPr>
        <w:t xml:space="preserve">suo </w:t>
      </w:r>
      <w:r w:rsidR="00AC4CF1" w:rsidRPr="00AC4CF1">
        <w:rPr>
          <w:rFonts w:ascii="Arial" w:hAnsi="Arial" w:cs="Arial"/>
          <w:color w:val="000000" w:themeColor="text1"/>
          <w:sz w:val="20"/>
          <w:szCs w:val="20"/>
          <w:lang w:val="it-IT"/>
        </w:rPr>
        <w:t>portafoglio assicurativo italiano unit-linked</w:t>
      </w:r>
      <w:r w:rsidR="00AC4CF1" w:rsidRPr="00AC4CF1" w:rsidDel="00AC4CF1">
        <w:rPr>
          <w:rFonts w:ascii="Arial" w:hAnsi="Arial" w:cs="Arial"/>
          <w:color w:val="000000" w:themeColor="text1"/>
          <w:sz w:val="20"/>
          <w:szCs w:val="20"/>
          <w:lang w:val="it-IT"/>
        </w:rPr>
        <w:t xml:space="preserve"> </w:t>
      </w:r>
      <w:r w:rsidRPr="00656794">
        <w:rPr>
          <w:rFonts w:ascii="Arial" w:hAnsi="Arial" w:cs="Arial"/>
          <w:color w:val="000000" w:themeColor="text1"/>
          <w:sz w:val="20"/>
          <w:szCs w:val="20"/>
          <w:lang w:val="it-IT"/>
        </w:rPr>
        <w:t>in linea con la sua strategia (e la strategia del Gruppo) di cedere le attività assicurative non core e legacy e di concentrarsi principalmente sul mercato domestico irlandese.</w:t>
      </w:r>
    </w:p>
    <w:p w14:paraId="4A4C4CE5" w14:textId="4C3C5D9F" w:rsidR="005A0B19" w:rsidRPr="00656794" w:rsidRDefault="005A0B19" w:rsidP="005A0B19">
      <w:pPr>
        <w:pStyle w:val="NormalWeb"/>
        <w:tabs>
          <w:tab w:val="center" w:pos="5030"/>
        </w:tabs>
        <w:spacing w:before="531" w:beforeAutospacing="0" w:after="0" w:afterAutospacing="0"/>
        <w:jc w:val="both"/>
        <w:rPr>
          <w:rFonts w:ascii="Arial" w:hAnsi="Arial" w:cs="Arial"/>
          <w:color w:val="000000" w:themeColor="text1"/>
          <w:sz w:val="20"/>
          <w:szCs w:val="20"/>
          <w:lang w:val="it-IT"/>
        </w:rPr>
      </w:pPr>
      <w:r w:rsidRPr="00656794">
        <w:rPr>
          <w:rFonts w:ascii="Arial" w:hAnsi="Arial" w:cs="Arial"/>
          <w:color w:val="000000" w:themeColor="text1"/>
          <w:sz w:val="20"/>
          <w:szCs w:val="20"/>
          <w:lang w:val="it-IT"/>
        </w:rPr>
        <w:t xml:space="preserve">La strategia di ZIL è quella di concentrarsi su prodotti </w:t>
      </w:r>
      <w:r w:rsidR="008A525A" w:rsidRPr="00656794">
        <w:rPr>
          <w:rFonts w:ascii="Arial" w:hAnsi="Arial" w:cs="Arial"/>
          <w:color w:val="000000" w:themeColor="text1"/>
          <w:sz w:val="20"/>
          <w:szCs w:val="20"/>
          <w:lang w:val="it-IT"/>
        </w:rPr>
        <w:t>unit-linked</w:t>
      </w:r>
      <w:r w:rsidRPr="00656794">
        <w:rPr>
          <w:rFonts w:ascii="Arial" w:hAnsi="Arial" w:cs="Arial"/>
          <w:color w:val="000000" w:themeColor="text1"/>
          <w:sz w:val="20"/>
          <w:szCs w:val="20"/>
          <w:lang w:val="it-IT"/>
        </w:rPr>
        <w:t xml:space="preserve"> e</w:t>
      </w:r>
      <w:r w:rsidR="002838DA">
        <w:rPr>
          <w:rFonts w:ascii="Arial" w:hAnsi="Arial" w:cs="Arial"/>
          <w:color w:val="000000" w:themeColor="text1"/>
          <w:sz w:val="20"/>
          <w:szCs w:val="20"/>
          <w:lang w:val="it-IT"/>
        </w:rPr>
        <w:t>d</w:t>
      </w:r>
      <w:r w:rsidRPr="00656794">
        <w:rPr>
          <w:rFonts w:ascii="Arial" w:hAnsi="Arial" w:cs="Arial"/>
          <w:color w:val="000000" w:themeColor="text1"/>
          <w:sz w:val="20"/>
          <w:szCs w:val="20"/>
          <w:lang w:val="it-IT"/>
        </w:rPr>
        <w:t xml:space="preserve"> ibridi allontanandosi dal business tradizionale a maggiore intensità di capitale e basso rendimento per gli azionisti. Pertanto, il trasferimento del portafoglio si allinea con i piani strategici di ZIL per migliorare la sua esposizione alle attività </w:t>
      </w:r>
      <w:r w:rsidR="00FA60F2">
        <w:rPr>
          <w:rFonts w:ascii="Arial" w:hAnsi="Arial" w:cs="Arial"/>
          <w:color w:val="000000" w:themeColor="text1"/>
          <w:sz w:val="20"/>
          <w:szCs w:val="20"/>
          <w:lang w:val="it-IT"/>
        </w:rPr>
        <w:t>unit-linked</w:t>
      </w:r>
      <w:r w:rsidRPr="00656794">
        <w:rPr>
          <w:rFonts w:ascii="Arial" w:hAnsi="Arial" w:cs="Arial"/>
          <w:color w:val="000000" w:themeColor="text1"/>
          <w:sz w:val="20"/>
          <w:szCs w:val="20"/>
          <w:lang w:val="it-IT"/>
        </w:rPr>
        <w:t xml:space="preserve"> e per ottenere potenziali economie di scala in termini di costi di gestione di questo portafoglio insieme all</w:t>
      </w:r>
      <w:r w:rsidR="00F23A40" w:rsidRPr="00656794">
        <w:rPr>
          <w:rFonts w:ascii="Arial" w:hAnsi="Arial" w:cs="Arial"/>
          <w:color w:val="000000" w:themeColor="text1"/>
          <w:sz w:val="20"/>
          <w:szCs w:val="20"/>
          <w:lang w:val="it-IT"/>
        </w:rPr>
        <w:t>’</w:t>
      </w:r>
      <w:r w:rsidRPr="00656794">
        <w:rPr>
          <w:rFonts w:ascii="Arial" w:hAnsi="Arial" w:cs="Arial"/>
          <w:color w:val="000000" w:themeColor="text1"/>
          <w:sz w:val="20"/>
          <w:szCs w:val="20"/>
          <w:lang w:val="it-IT"/>
        </w:rPr>
        <w:t xml:space="preserve">attività </w:t>
      </w:r>
      <w:r w:rsidR="002838DA">
        <w:rPr>
          <w:rFonts w:ascii="Arial" w:hAnsi="Arial" w:cs="Arial"/>
          <w:color w:val="000000" w:themeColor="text1"/>
          <w:sz w:val="20"/>
          <w:szCs w:val="20"/>
          <w:lang w:val="it-IT"/>
        </w:rPr>
        <w:t>unit-linked attualmente</w:t>
      </w:r>
      <w:r w:rsidRPr="00656794">
        <w:rPr>
          <w:rFonts w:ascii="Arial" w:hAnsi="Arial" w:cs="Arial"/>
          <w:color w:val="000000" w:themeColor="text1"/>
          <w:sz w:val="20"/>
          <w:szCs w:val="20"/>
          <w:lang w:val="it-IT"/>
        </w:rPr>
        <w:t xml:space="preserve"> esistent</w:t>
      </w:r>
      <w:r w:rsidR="002838DA">
        <w:rPr>
          <w:rFonts w:ascii="Arial" w:hAnsi="Arial" w:cs="Arial"/>
          <w:color w:val="000000" w:themeColor="text1"/>
          <w:sz w:val="20"/>
          <w:szCs w:val="20"/>
          <w:lang w:val="it-IT"/>
        </w:rPr>
        <w:t>e</w:t>
      </w:r>
      <w:r w:rsidRPr="00656794">
        <w:rPr>
          <w:rFonts w:ascii="Arial" w:hAnsi="Arial" w:cs="Arial"/>
          <w:color w:val="000000" w:themeColor="text1"/>
          <w:sz w:val="20"/>
          <w:szCs w:val="20"/>
          <w:lang w:val="it-IT"/>
        </w:rPr>
        <w:t>.</w:t>
      </w:r>
    </w:p>
    <w:p w14:paraId="4B0011BC" w14:textId="603ABCAC"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338D"/>
          <w:lang w:val="it-IT"/>
        </w:rPr>
        <w:t>2.1.3 Appro</w:t>
      </w:r>
      <w:r w:rsidR="00CE260C" w:rsidRPr="00656794">
        <w:rPr>
          <w:rFonts w:ascii="Arial" w:hAnsi="Arial" w:cs="Arial"/>
          <w:color w:val="00338D"/>
          <w:lang w:val="it-IT"/>
        </w:rPr>
        <w:t>ccio</w:t>
      </w:r>
    </w:p>
    <w:p w14:paraId="75758156" w14:textId="21E4E0CA" w:rsidR="00757DE6"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Il mio approccio alla valutazione dei </w:t>
      </w:r>
      <w:r w:rsidR="000A1AB2" w:rsidRPr="00656794">
        <w:rPr>
          <w:rFonts w:ascii="Arial" w:hAnsi="Arial" w:cs="Arial"/>
          <w:color w:val="000000"/>
          <w:sz w:val="20"/>
          <w:szCs w:val="20"/>
          <w:lang w:val="it-IT"/>
        </w:rPr>
        <w:t>p</w:t>
      </w:r>
      <w:r w:rsidR="000A1AB2">
        <w:rPr>
          <w:rFonts w:ascii="Arial" w:hAnsi="Arial" w:cs="Arial"/>
          <w:color w:val="000000"/>
          <w:sz w:val="20"/>
          <w:szCs w:val="20"/>
          <w:lang w:val="it-IT"/>
        </w:rPr>
        <w:t xml:space="preserve">otenziali </w:t>
      </w:r>
      <w:r w:rsidRPr="00656794">
        <w:rPr>
          <w:rFonts w:ascii="Arial" w:hAnsi="Arial" w:cs="Arial"/>
          <w:color w:val="000000"/>
          <w:sz w:val="20"/>
          <w:szCs w:val="20"/>
          <w:lang w:val="it-IT"/>
        </w:rPr>
        <w:t>effetti 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sui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è stato quello di: </w:t>
      </w:r>
    </w:p>
    <w:p w14:paraId="160E00C7" w14:textId="64906E23" w:rsidR="005A0B19" w:rsidRPr="00656794" w:rsidRDefault="005A0B19" w:rsidP="002A5A7B">
      <w:pPr>
        <w:pStyle w:val="NormalWeb"/>
        <w:numPr>
          <w:ilvl w:val="0"/>
          <w:numId w:val="10"/>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Comprendere le attività delle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e</w:t>
      </w:r>
    </w:p>
    <w:p w14:paraId="32408937" w14:textId="4867D17C" w:rsidR="005A0B19" w:rsidRPr="00656794" w:rsidRDefault="005A0B19" w:rsidP="002A5A7B">
      <w:pPr>
        <w:pStyle w:val="NormalWeb"/>
        <w:numPr>
          <w:ilvl w:val="0"/>
          <w:numId w:val="10"/>
        </w:numPr>
        <w:ind w:right="102"/>
        <w:jc w:val="both"/>
        <w:rPr>
          <w:rFonts w:ascii="Arial" w:hAnsi="Arial" w:cs="Arial"/>
          <w:color w:val="000000"/>
          <w:sz w:val="20"/>
          <w:szCs w:val="20"/>
          <w:lang w:val="it-IT"/>
        </w:rPr>
      </w:pPr>
      <w:r w:rsidRPr="00656794">
        <w:rPr>
          <w:rFonts w:ascii="Arial" w:hAnsi="Arial" w:cs="Arial"/>
          <w:color w:val="000000"/>
          <w:sz w:val="20"/>
          <w:szCs w:val="20"/>
          <w:lang w:val="it-IT"/>
        </w:rPr>
        <w:t>Comprendere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effetto 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sulle attività, passività e capitale (sulla base normativa) delle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e delle loro rispettive attività.</w:t>
      </w:r>
    </w:p>
    <w:p w14:paraId="70DCE249" w14:textId="4B6FA198"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Avendo identificato gli effetti 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su entrambe 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e sulle loro rispettive attività, quindi:</w:t>
      </w:r>
    </w:p>
    <w:p w14:paraId="64E20C85" w14:textId="1497319E" w:rsidR="005A0B19" w:rsidRPr="00656794" w:rsidRDefault="005A0B19" w:rsidP="002A5A7B">
      <w:pPr>
        <w:pStyle w:val="NormalWeb"/>
        <w:numPr>
          <w:ilvl w:val="0"/>
          <w:numId w:val="13"/>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Identificare i gruppi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direttamente interessati;</w:t>
      </w:r>
    </w:p>
    <w:p w14:paraId="6BC162BB" w14:textId="30277541" w:rsidR="00757DE6" w:rsidRPr="00656794" w:rsidRDefault="005A0B19" w:rsidP="002A5A7B">
      <w:pPr>
        <w:pStyle w:val="NormalWeb"/>
        <w:numPr>
          <w:ilvl w:val="0"/>
          <w:numId w:val="13"/>
        </w:numPr>
        <w:ind w:right="102"/>
        <w:jc w:val="both"/>
        <w:rPr>
          <w:rFonts w:ascii="Arial" w:hAnsi="Arial" w:cs="Arial"/>
          <w:color w:val="000000"/>
          <w:sz w:val="20"/>
          <w:szCs w:val="20"/>
          <w:lang w:val="it-IT"/>
        </w:rPr>
      </w:pPr>
      <w:r w:rsidRPr="00656794">
        <w:rPr>
          <w:rFonts w:ascii="Arial" w:hAnsi="Arial" w:cs="Arial"/>
          <w:color w:val="000000"/>
          <w:sz w:val="20"/>
          <w:szCs w:val="20"/>
          <w:lang w:val="it-IT"/>
        </w:rPr>
        <w:t>Considerare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sulla sicurezza di ciascun gruppo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p>
    <w:p w14:paraId="4F0729D9" w14:textId="221792B8" w:rsidR="005A0B19" w:rsidRPr="00656794" w:rsidRDefault="005A0B19" w:rsidP="002A5A7B">
      <w:pPr>
        <w:pStyle w:val="NormalWeb"/>
        <w:numPr>
          <w:ilvl w:val="0"/>
          <w:numId w:val="13"/>
        </w:numPr>
        <w:ind w:right="102"/>
        <w:jc w:val="both"/>
        <w:rPr>
          <w:rFonts w:ascii="Arial" w:hAnsi="Arial" w:cs="Arial"/>
          <w:color w:val="000000"/>
          <w:sz w:val="20"/>
          <w:szCs w:val="20"/>
          <w:lang w:val="it-IT"/>
        </w:rPr>
      </w:pPr>
      <w:r w:rsidRPr="00656794">
        <w:rPr>
          <w:rFonts w:ascii="Arial" w:hAnsi="Arial" w:cs="Arial"/>
          <w:color w:val="000000"/>
          <w:sz w:val="20"/>
          <w:szCs w:val="20"/>
          <w:lang w:val="it-IT"/>
        </w:rPr>
        <w:t>Considerare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sulle aspettative di beneficio di ciascun gruppo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e</w:t>
      </w:r>
    </w:p>
    <w:p w14:paraId="60DD5A5F" w14:textId="5A440EEF" w:rsidR="005A0B19" w:rsidRPr="00656794" w:rsidRDefault="005A0B19" w:rsidP="002A5A7B">
      <w:pPr>
        <w:pStyle w:val="NormalWeb"/>
        <w:numPr>
          <w:ilvl w:val="0"/>
          <w:numId w:val="13"/>
        </w:numPr>
        <w:ind w:right="102"/>
        <w:jc w:val="both"/>
        <w:rPr>
          <w:rFonts w:ascii="Arial" w:hAnsi="Arial" w:cs="Arial"/>
          <w:color w:val="000000"/>
          <w:sz w:val="20"/>
          <w:szCs w:val="20"/>
          <w:lang w:val="it-IT"/>
        </w:rPr>
      </w:pPr>
      <w:r w:rsidRPr="00656794">
        <w:rPr>
          <w:rFonts w:ascii="Arial" w:hAnsi="Arial" w:cs="Arial"/>
          <w:color w:val="000000"/>
          <w:sz w:val="20"/>
          <w:szCs w:val="20"/>
          <w:lang w:val="it-IT"/>
        </w:rPr>
        <w:t>Considerare altri aspetti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(ad esempio, il servizio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e qualsiasi cambiamento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amministrazione o altri accordi).</w:t>
      </w:r>
    </w:p>
    <w:p w14:paraId="26E0E7F9" w14:textId="4FA5B191"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Al fine di considerare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effetto 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proposto su ciascuna delle società e dei gruppi di </w:t>
      </w:r>
      <w:r w:rsidR="00DC30A5">
        <w:rPr>
          <w:rFonts w:ascii="Arial" w:hAnsi="Arial" w:cs="Arial"/>
          <w:color w:val="000000"/>
          <w:sz w:val="20"/>
          <w:szCs w:val="20"/>
          <w:lang w:val="it-IT"/>
        </w:rPr>
        <w:t>contraenti</w:t>
      </w:r>
      <w:r w:rsidR="008A0967">
        <w:rPr>
          <w:rFonts w:ascii="Arial" w:hAnsi="Arial" w:cs="Arial"/>
          <w:color w:val="000000"/>
          <w:sz w:val="20"/>
          <w:szCs w:val="20"/>
          <w:lang w:val="it-IT"/>
        </w:rPr>
        <w:t xml:space="preserve"> in perimetro per il trasferimento</w:t>
      </w:r>
      <w:r w:rsidRPr="00656794">
        <w:rPr>
          <w:rFonts w:ascii="Arial" w:hAnsi="Arial" w:cs="Arial"/>
          <w:color w:val="000000"/>
          <w:sz w:val="20"/>
          <w:szCs w:val="20"/>
          <w:lang w:val="it-IT"/>
        </w:rPr>
        <w:t>, mi sono state fornite informazioni finanziarie per ciascuna entità legale, tra cui:</w:t>
      </w:r>
    </w:p>
    <w:p w14:paraId="1D2FFFCB" w14:textId="77777777" w:rsidR="005A0B19" w:rsidRPr="00656794" w:rsidRDefault="005A0B19" w:rsidP="002A5A7B">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Informazioni finanziarie storiche di ZLAP basate su bilanci certificati e comunicazioni regolamentari alla CBI, concentrandosi in particolare sulle stime del capitale regolamentare Solvency II.</w:t>
      </w:r>
    </w:p>
    <w:p w14:paraId="5574DB66" w14:textId="58A7BCD8" w:rsidR="005A0B19" w:rsidRPr="00656794" w:rsidRDefault="005A0B19" w:rsidP="002A5A7B">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Informazioni finanziarie storiche di ZIL basate su bilanci certificati e comunicazioni regolamentari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con particolare attenzione alle stime del capitale regolamentare Solvency II.</w:t>
      </w:r>
    </w:p>
    <w:p w14:paraId="7F11AAEC" w14:textId="2299E2F1" w:rsidR="005A0B19" w:rsidRPr="00656794" w:rsidRDefault="005A0B19" w:rsidP="002A5A7B">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Per entrambe 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le Relazioni sulla Funzione Attuariale e le Relazioni Attuariali sulle Riserve Tecniche relative ai bilanci regolamentari storici.</w:t>
      </w:r>
    </w:p>
    <w:p w14:paraId="63D71BE4" w14:textId="04A3F42C" w:rsidR="005A0B19" w:rsidRPr="00656794" w:rsidRDefault="005A0B19" w:rsidP="002A5A7B">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Per entrambe 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la Relazione sulla Funzione Attuariale e la Relazione Attuariale sulle Riserve Tecniche redatte in relazione al bilancio regolamentare al 31 dicembre 2020 e alle informazioni finanziarie e regolamentari aggiornate al 30 giugno 2021.</w:t>
      </w:r>
    </w:p>
    <w:p w14:paraId="4E55D2EB" w14:textId="7F325E35" w:rsidR="005A0B19" w:rsidRPr="00656794" w:rsidRDefault="005A0B19" w:rsidP="002A5A7B">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Prospetti patrimoniali pro-forma, che illustrano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del trasferimento come se fosse avvenuto al 31 dicembre 2020 e illustrano anche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al 30 giugno 2021.</w:t>
      </w:r>
    </w:p>
    <w:p w14:paraId="4D895A16" w14:textId="20DAED70" w:rsidR="005A0B19" w:rsidRPr="00656794" w:rsidRDefault="005A0B19" w:rsidP="002A5A7B">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Le proiezioni predisposte da entrambe le </w:t>
      </w:r>
      <w:r w:rsidR="0091349A">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0091349A">
        <w:rPr>
          <w:rFonts w:ascii="Arial" w:hAnsi="Arial" w:cs="Arial"/>
          <w:color w:val="000000"/>
          <w:sz w:val="20"/>
          <w:szCs w:val="20"/>
          <w:lang w:val="it-IT"/>
        </w:rPr>
        <w:t xml:space="preserve"> </w:t>
      </w:r>
      <w:r w:rsidRPr="00656794">
        <w:rPr>
          <w:rFonts w:ascii="Arial" w:hAnsi="Arial" w:cs="Arial"/>
          <w:color w:val="000000"/>
          <w:sz w:val="20"/>
          <w:szCs w:val="20"/>
          <w:lang w:val="it-IT"/>
        </w:rPr>
        <w:t>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ambito dei rispettivi processi di valutazione del rischio e della solvibilità (processi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Prendo atto che </w:t>
      </w:r>
      <w:r w:rsidR="00D23E73">
        <w:rPr>
          <w:rFonts w:ascii="Arial" w:hAnsi="Arial" w:cs="Arial"/>
          <w:color w:val="000000"/>
          <w:sz w:val="20"/>
          <w:szCs w:val="20"/>
          <w:lang w:val="it-IT"/>
        </w:rPr>
        <w:t xml:space="preserve">il rapporto </w:t>
      </w:r>
      <w:r w:rsidRPr="00656794">
        <w:rPr>
          <w:rFonts w:ascii="Arial" w:hAnsi="Arial" w:cs="Arial"/>
          <w:color w:val="000000"/>
          <w:sz w:val="20"/>
          <w:szCs w:val="20"/>
          <w:lang w:val="it-IT"/>
        </w:rPr>
        <w:t xml:space="preserve">ORSA </w:t>
      </w:r>
      <w:r w:rsidR="008E4AF5" w:rsidRPr="00656794">
        <w:rPr>
          <w:rFonts w:ascii="Arial" w:hAnsi="Arial" w:cs="Arial"/>
          <w:color w:val="000000"/>
          <w:sz w:val="20"/>
          <w:szCs w:val="20"/>
          <w:lang w:val="it-IT"/>
        </w:rPr>
        <w:t>prodott</w:t>
      </w:r>
      <w:r w:rsidR="00D23E73">
        <w:rPr>
          <w:rFonts w:ascii="Arial" w:hAnsi="Arial" w:cs="Arial"/>
          <w:color w:val="000000"/>
          <w:sz w:val="20"/>
          <w:szCs w:val="20"/>
          <w:lang w:val="it-IT"/>
        </w:rPr>
        <w:t>o</w:t>
      </w:r>
      <w:r w:rsidR="008E4AF5"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a seguito del completamento di questo processo non è un documento pubblicamente </w:t>
      </w:r>
      <w:r w:rsidR="007E7121" w:rsidRPr="00656794">
        <w:rPr>
          <w:rFonts w:ascii="Arial" w:hAnsi="Arial" w:cs="Arial"/>
          <w:color w:val="000000"/>
          <w:sz w:val="20"/>
          <w:szCs w:val="20"/>
          <w:lang w:val="it-IT"/>
        </w:rPr>
        <w:t>disponibile; quindi,</w:t>
      </w:r>
      <w:r w:rsidRPr="00656794">
        <w:rPr>
          <w:rFonts w:ascii="Arial" w:hAnsi="Arial" w:cs="Arial"/>
          <w:color w:val="000000"/>
          <w:sz w:val="20"/>
          <w:szCs w:val="20"/>
          <w:lang w:val="it-IT"/>
        </w:rPr>
        <w:t xml:space="preserve"> non ho riprodotto i dettagli del </w:t>
      </w:r>
      <w:r w:rsidR="00D23E73">
        <w:rPr>
          <w:rFonts w:ascii="Arial" w:hAnsi="Arial" w:cs="Arial"/>
          <w:color w:val="000000"/>
          <w:sz w:val="20"/>
          <w:szCs w:val="20"/>
          <w:lang w:val="it-IT"/>
        </w:rPr>
        <w:t>rapporto</w:t>
      </w:r>
      <w:r w:rsidR="00D23E73"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per nessuna delle entità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di quest</w:t>
      </w:r>
      <w:r w:rsidR="0018520E">
        <w:rPr>
          <w:rFonts w:ascii="Arial" w:hAnsi="Arial" w:cs="Arial"/>
          <w:color w:val="000000"/>
          <w:sz w:val="20"/>
          <w:szCs w:val="20"/>
          <w:lang w:val="it-IT"/>
        </w:rPr>
        <w:t>o documento</w:t>
      </w:r>
      <w:r w:rsidRPr="00656794">
        <w:rPr>
          <w:rFonts w:ascii="Arial" w:hAnsi="Arial" w:cs="Arial"/>
          <w:color w:val="000000"/>
          <w:sz w:val="20"/>
          <w:szCs w:val="20"/>
          <w:lang w:val="it-IT"/>
        </w:rPr>
        <w:t>.</w:t>
      </w:r>
    </w:p>
    <w:p w14:paraId="2951DA3B" w14:textId="12BDA36F" w:rsidR="005A0B19" w:rsidRPr="00656794" w:rsidRDefault="005A0B19" w:rsidP="002A5A7B">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Nel formulare la mia opinione, ho sollevato domande con il personale chiave responsabile delle funzioni principali nelle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e ho fatto affidamento, tra le altre informazioni, sulle stime della posizione patrimoniale di ZIL dopo aver approvato </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proposto.</w:t>
      </w:r>
    </w:p>
    <w:p w14:paraId="442DD3EA" w14:textId="2B94070B" w:rsidR="005A0B19" w:rsidRPr="00656794" w:rsidRDefault="005A0B19" w:rsidP="002A5A7B">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Al fine di accertarmi che queste stime </w:t>
      </w:r>
      <w:r w:rsidR="0018520E">
        <w:rPr>
          <w:rFonts w:ascii="Arial" w:hAnsi="Arial" w:cs="Arial"/>
          <w:color w:val="000000"/>
          <w:sz w:val="20"/>
          <w:szCs w:val="20"/>
          <w:lang w:val="it-IT"/>
        </w:rPr>
        <w:t>abbiano</w:t>
      </w:r>
      <w:r w:rsidRPr="00656794">
        <w:rPr>
          <w:rFonts w:ascii="Arial" w:hAnsi="Arial" w:cs="Arial"/>
          <w:color w:val="000000"/>
          <w:sz w:val="20"/>
          <w:szCs w:val="20"/>
          <w:lang w:val="it-IT"/>
        </w:rPr>
        <w:t xml:space="preserve"> una base adeguata </w:t>
      </w:r>
      <w:r w:rsidR="0018520E">
        <w:rPr>
          <w:rFonts w:ascii="Arial" w:hAnsi="Arial" w:cs="Arial"/>
          <w:color w:val="000000"/>
          <w:sz w:val="20"/>
          <w:szCs w:val="20"/>
          <w:lang w:val="it-IT"/>
        </w:rPr>
        <w:t>con</w:t>
      </w:r>
      <w:r w:rsidRPr="00656794">
        <w:rPr>
          <w:rFonts w:ascii="Arial" w:hAnsi="Arial" w:cs="Arial"/>
          <w:color w:val="000000"/>
          <w:sz w:val="20"/>
          <w:szCs w:val="20"/>
          <w:lang w:val="it-IT"/>
        </w:rPr>
        <w:t xml:space="preserve"> cui formarmi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opinione, ho considerato:</w:t>
      </w:r>
    </w:p>
    <w:p w14:paraId="2D27809D" w14:textId="10339113" w:rsidR="005A0B19" w:rsidRPr="00656794" w:rsidRDefault="005A0B19" w:rsidP="002A5A7B">
      <w:pPr>
        <w:pStyle w:val="NormalWeb"/>
        <w:numPr>
          <w:ilvl w:val="0"/>
          <w:numId w:val="16"/>
        </w:numPr>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adeguatezza delle metodologie utilizzate dalle </w:t>
      </w:r>
      <w:r w:rsidR="0091349A">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0091349A">
        <w:rPr>
          <w:rFonts w:ascii="Arial" w:hAnsi="Arial" w:cs="Arial"/>
          <w:color w:val="000000"/>
          <w:sz w:val="20"/>
          <w:szCs w:val="20"/>
          <w:lang w:val="it-IT"/>
        </w:rPr>
        <w:t xml:space="preserve"> </w:t>
      </w:r>
      <w:r w:rsidRPr="00656794">
        <w:rPr>
          <w:rFonts w:ascii="Arial" w:hAnsi="Arial" w:cs="Arial"/>
          <w:color w:val="000000"/>
          <w:sz w:val="20"/>
          <w:szCs w:val="20"/>
          <w:lang w:val="it-IT"/>
        </w:rPr>
        <w:t>per il calcolo della stima del patrimonio di vigilanza richiesto; e</w:t>
      </w:r>
    </w:p>
    <w:p w14:paraId="5F7DE13F" w14:textId="25513EC6" w:rsidR="005A0B19" w:rsidRPr="00656794" w:rsidRDefault="00C0350F" w:rsidP="002A5A7B">
      <w:pPr>
        <w:pStyle w:val="NormalWeb"/>
        <w:numPr>
          <w:ilvl w:val="0"/>
          <w:numId w:val="16"/>
        </w:numPr>
        <w:ind w:right="102"/>
        <w:jc w:val="both"/>
        <w:rPr>
          <w:rFonts w:ascii="Arial" w:hAnsi="Arial" w:cs="Arial"/>
          <w:color w:val="000000"/>
          <w:sz w:val="20"/>
          <w:szCs w:val="20"/>
          <w:lang w:val="it-IT"/>
        </w:rPr>
      </w:pPr>
      <w:r>
        <w:rPr>
          <w:rFonts w:ascii="Arial" w:hAnsi="Arial" w:cs="Arial"/>
          <w:color w:val="000000"/>
          <w:sz w:val="20"/>
          <w:szCs w:val="20"/>
          <w:lang w:val="it-IT"/>
        </w:rPr>
        <w:t>Test di stress e scenario</w:t>
      </w:r>
      <w:r w:rsidR="005A0B19" w:rsidRPr="00656794">
        <w:rPr>
          <w:rFonts w:ascii="Arial" w:hAnsi="Arial" w:cs="Arial"/>
          <w:color w:val="000000"/>
          <w:sz w:val="20"/>
          <w:szCs w:val="20"/>
          <w:lang w:val="it-IT"/>
        </w:rPr>
        <w:t xml:space="preserve"> attualmente eseguiti dalle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005A0B19" w:rsidRPr="00656794">
        <w:rPr>
          <w:rFonts w:ascii="Arial" w:hAnsi="Arial" w:cs="Arial"/>
          <w:color w:val="000000"/>
          <w:sz w:val="20"/>
          <w:szCs w:val="20"/>
          <w:lang w:val="it-IT"/>
        </w:rPr>
        <w:t xml:space="preserve"> per comprendere la rispettiva solidità patrimoniale regolamentare e se sono necessari ulteriori test.</w:t>
      </w:r>
    </w:p>
    <w:p w14:paraId="7B372266" w14:textId="38E20699"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Ho considerato i diversi accordi di sostegno del capitale disponibili che potrebbero essere utilizzati per gestire gli eventi avversi che possono avere un impatto sulla posizione finanziaria delle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0D2F8E35" w14:textId="4A00B118"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Mi sono state inoltre fornite altre informazioni non finanziarie specificamente relative al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tra cui:</w:t>
      </w:r>
    </w:p>
    <w:p w14:paraId="746F3123" w14:textId="0D622113"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Contesto 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68BCFA28" w14:textId="77777777"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Strutture aziendali e di Gruppo;</w:t>
      </w:r>
    </w:p>
    <w:p w14:paraId="34D5C6D8" w14:textId="089B7DD8"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Documentazione del prodotto, inclusi esempi di documentazione sui prodotti collegati a unità ZLAP e ZIL, inclusi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linee guida di investimento e documenti KID;</w:t>
      </w:r>
    </w:p>
    <w:p w14:paraId="2C37A4F3" w14:textId="503773D3" w:rsidR="00757DE6"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Una panoramica del rischio e dei quadri di governance in atto in entrambe 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w:t>
      </w:r>
    </w:p>
    <w:p w14:paraId="083A1F0B" w14:textId="2F215146"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Una panoramica del quadro di condotta verso il cliente in vigore in ZIL;</w:t>
      </w:r>
    </w:p>
    <w:p w14:paraId="38C5A2EB" w14:textId="7A6353DE"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Documentazione che illustra eventuali discussioni recenti che 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hanno avuto con i rispettivi regolatori IVASS e CBI; e</w:t>
      </w:r>
    </w:p>
    <w:p w14:paraId="1107D483" w14:textId="4F957345"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126414">
        <w:rPr>
          <w:rFonts w:ascii="Arial" w:hAnsi="Arial" w:cs="Arial"/>
          <w:color w:val="000000"/>
          <w:sz w:val="20"/>
          <w:szCs w:val="20"/>
          <w:lang w:val="it-IT"/>
        </w:rPr>
        <w:t>L’organizzazione di</w:t>
      </w:r>
      <w:r w:rsidR="00126414"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un seminario con Previnet a cui hanno partecipato </w:t>
      </w:r>
      <w:r w:rsidR="00126414">
        <w:rPr>
          <w:rFonts w:ascii="Arial" w:hAnsi="Arial" w:cs="Arial"/>
          <w:color w:val="000000"/>
          <w:sz w:val="20"/>
          <w:szCs w:val="20"/>
          <w:lang w:val="it-IT"/>
        </w:rPr>
        <w:t xml:space="preserve">i </w:t>
      </w:r>
      <w:r w:rsidRPr="00656794">
        <w:rPr>
          <w:rFonts w:ascii="Arial" w:hAnsi="Arial" w:cs="Arial"/>
          <w:color w:val="000000"/>
          <w:sz w:val="20"/>
          <w:szCs w:val="20"/>
          <w:lang w:val="it-IT"/>
        </w:rPr>
        <w:t>rappresentanti di KPMG,</w:t>
      </w:r>
      <w:r w:rsidR="00126414">
        <w:rPr>
          <w:rFonts w:ascii="Arial" w:hAnsi="Arial" w:cs="Arial"/>
          <w:color w:val="000000"/>
          <w:sz w:val="20"/>
          <w:szCs w:val="20"/>
          <w:lang w:val="it-IT"/>
        </w:rPr>
        <w:t xml:space="preserve"> di</w:t>
      </w:r>
      <w:r w:rsidRPr="00656794">
        <w:rPr>
          <w:rFonts w:ascii="Arial" w:hAnsi="Arial" w:cs="Arial"/>
          <w:color w:val="000000"/>
          <w:sz w:val="20"/>
          <w:szCs w:val="20"/>
          <w:lang w:val="it-IT"/>
        </w:rPr>
        <w:t xml:space="preserve"> ZIL e </w:t>
      </w:r>
      <w:r w:rsidR="00126414">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Previnet. Il </w:t>
      </w:r>
      <w:r w:rsidR="00783817">
        <w:rPr>
          <w:rFonts w:ascii="Arial" w:hAnsi="Arial" w:cs="Arial"/>
          <w:color w:val="000000"/>
          <w:sz w:val="20"/>
          <w:szCs w:val="20"/>
          <w:lang w:val="it-IT"/>
        </w:rPr>
        <w:t>seminario</w:t>
      </w:r>
      <w:r w:rsidR="00783817"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ha incluso una</w:t>
      </w:r>
      <w:r w:rsidR="004E1BCF" w:rsidRPr="00656794">
        <w:rPr>
          <w:rFonts w:ascii="Arial" w:hAnsi="Arial" w:cs="Arial"/>
          <w:color w:val="000000"/>
          <w:sz w:val="20"/>
          <w:szCs w:val="20"/>
          <w:lang w:val="it-IT"/>
        </w:rPr>
        <w:t>confronto</w:t>
      </w:r>
      <w:r w:rsidRPr="00656794">
        <w:rPr>
          <w:rFonts w:ascii="Arial" w:hAnsi="Arial" w:cs="Arial"/>
          <w:color w:val="000000"/>
          <w:sz w:val="20"/>
          <w:szCs w:val="20"/>
          <w:lang w:val="it-IT"/>
        </w:rPr>
        <w:t xml:space="preserve"> su Previnet, </w:t>
      </w:r>
      <w:r w:rsidR="006872CE">
        <w:rPr>
          <w:rFonts w:ascii="Arial" w:hAnsi="Arial" w:cs="Arial"/>
          <w:color w:val="000000"/>
          <w:sz w:val="20"/>
          <w:szCs w:val="20"/>
          <w:lang w:val="it-IT"/>
        </w:rPr>
        <w:t>il quale include</w:t>
      </w:r>
      <w:r w:rsidR="006872CE"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il profilo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azienda, i clienti, le posizioni geografiche e i servizi forniti. È stato inoltre discusso il masterplan del progetto, </w:t>
      </w:r>
      <w:r w:rsidR="00F91D4E" w:rsidRPr="00656794">
        <w:rPr>
          <w:rFonts w:ascii="Arial" w:hAnsi="Arial" w:cs="Arial"/>
          <w:color w:val="000000"/>
          <w:sz w:val="20"/>
          <w:szCs w:val="20"/>
          <w:lang w:val="it-IT"/>
        </w:rPr>
        <w:t>compresi</w:t>
      </w:r>
      <w:r w:rsidRPr="00656794">
        <w:rPr>
          <w:rFonts w:ascii="Arial" w:hAnsi="Arial" w:cs="Arial"/>
          <w:color w:val="000000"/>
          <w:sz w:val="20"/>
          <w:szCs w:val="20"/>
          <w:lang w:val="it-IT"/>
        </w:rPr>
        <w:t xml:space="preserve"> ambito, governance del progetto e tempistiche.</w:t>
      </w:r>
    </w:p>
    <w:p w14:paraId="2CB72B90" w14:textId="7DB48796"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appendice 1 include un elenco di tutte le informazioni fornite.</w:t>
      </w:r>
    </w:p>
    <w:p w14:paraId="2BCE8387" w14:textId="5046459B"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338D"/>
          <w:lang w:val="it-IT"/>
        </w:rPr>
        <w:t xml:space="preserve">2.1.4 </w:t>
      </w:r>
      <w:r w:rsidR="00757DE6" w:rsidRPr="00656794">
        <w:rPr>
          <w:rFonts w:ascii="Arial" w:hAnsi="Arial" w:cs="Arial"/>
          <w:color w:val="00338D"/>
          <w:lang w:val="it-IT"/>
        </w:rPr>
        <w:t>Ipotesi chiave</w:t>
      </w:r>
    </w:p>
    <w:p w14:paraId="7EF78363" w14:textId="01ACDFF6"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Per quanto riguarda </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capisco che:</w:t>
      </w:r>
    </w:p>
    <w:p w14:paraId="787873D5" w14:textId="7ADE8B4D"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ZLAP trasferirà a ZIL il suo portafoglio</w:t>
      </w:r>
      <w:r w:rsidR="00A14C33">
        <w:rPr>
          <w:rFonts w:ascii="Arial" w:hAnsi="Arial" w:cs="Arial"/>
          <w:color w:val="000000"/>
          <w:sz w:val="20"/>
          <w:szCs w:val="20"/>
          <w:lang w:val="it-IT"/>
        </w:rPr>
        <w:t xml:space="preserve"> assicurativo</w:t>
      </w:r>
      <w:r w:rsidRPr="00656794">
        <w:rPr>
          <w:rFonts w:ascii="Arial" w:hAnsi="Arial" w:cs="Arial"/>
          <w:color w:val="000000"/>
          <w:sz w:val="20"/>
          <w:szCs w:val="20"/>
          <w:lang w:val="it-IT"/>
        </w:rPr>
        <w:t xml:space="preserve"> italiano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e gli investimenti e le attività corrispondenti detenuti per conto del suo portafoglio italiano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a ZIL, alla </w:t>
      </w:r>
      <w:r w:rsidR="00DB414C">
        <w:rPr>
          <w:rFonts w:ascii="Arial" w:hAnsi="Arial" w:cs="Arial"/>
          <w:color w:val="000000"/>
          <w:sz w:val="20"/>
          <w:szCs w:val="20"/>
          <w:lang w:val="it-IT"/>
        </w:rPr>
        <w:t>Data di trasferimento effettiva</w:t>
      </w:r>
      <w:r w:rsidRPr="00656794">
        <w:rPr>
          <w:rFonts w:ascii="Arial" w:hAnsi="Arial" w:cs="Arial"/>
          <w:color w:val="000000"/>
          <w:sz w:val="20"/>
          <w:szCs w:val="20"/>
          <w:lang w:val="it-IT"/>
        </w:rPr>
        <w:t>. La struttura sottostante dell</w:t>
      </w:r>
      <w:r w:rsidR="00F23A40" w:rsidRPr="00656794">
        <w:rPr>
          <w:rFonts w:ascii="Arial" w:hAnsi="Arial" w:cs="Arial"/>
          <w:color w:val="000000"/>
          <w:sz w:val="20"/>
          <w:szCs w:val="20"/>
          <w:lang w:val="it-IT"/>
        </w:rPr>
        <w:t>’</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è un </w:t>
      </w:r>
      <w:r w:rsidR="00A82666">
        <w:rPr>
          <w:rFonts w:ascii="Arial" w:hAnsi="Arial" w:cs="Arial"/>
          <w:color w:val="000000"/>
          <w:sz w:val="20"/>
          <w:szCs w:val="20"/>
          <w:lang w:val="it-IT"/>
        </w:rPr>
        <w:t>conferimento in natura di ramo d’azienda</w:t>
      </w:r>
      <w:r w:rsidR="00A82666"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basato su una valutazione della continuità aziendale, come definita da entrambe le parti coinvolte nell</w:t>
      </w:r>
      <w:r w:rsidR="00F23A40" w:rsidRPr="00656794">
        <w:rPr>
          <w:rFonts w:ascii="Arial" w:hAnsi="Arial" w:cs="Arial"/>
          <w:color w:val="000000"/>
          <w:sz w:val="20"/>
          <w:szCs w:val="20"/>
          <w:lang w:val="it-IT"/>
        </w:rPr>
        <w:t>’</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4000B0C9" w14:textId="475628A6"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In termini di corrispettivo per la cessione del </w:t>
      </w:r>
      <w:r w:rsidR="00580879">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italiano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si prevede che ZLAP riceverà un patrimonio sotto forma di azioni ordinarie nel capitale di ZIL, che ZLAP trasferirà successivamente a</w:t>
      </w:r>
      <w:r w:rsidR="00995161">
        <w:rPr>
          <w:rFonts w:ascii="Arial" w:hAnsi="Arial" w:cs="Arial"/>
          <w:color w:val="000000"/>
          <w:sz w:val="20"/>
          <w:szCs w:val="20"/>
          <w:lang w:val="it-IT"/>
        </w:rPr>
        <w:t xml:space="preserve">lla branch italiana </w:t>
      </w:r>
      <w:r w:rsidR="005C0326">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ZIC in un secondo momento per una considerazione. Esiste un contratto di vendita di azioni firmato tra ZLAP e </w:t>
      </w:r>
      <w:r w:rsidR="00995161">
        <w:rPr>
          <w:rFonts w:ascii="Arial" w:hAnsi="Arial" w:cs="Arial"/>
          <w:color w:val="000000"/>
          <w:sz w:val="20"/>
          <w:szCs w:val="20"/>
          <w:lang w:val="it-IT"/>
        </w:rPr>
        <w:t xml:space="preserve">la branch italiana </w:t>
      </w:r>
      <w:r w:rsidR="005C0326">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ZIC, in base al quale </w:t>
      </w:r>
      <w:r w:rsidR="00995161">
        <w:rPr>
          <w:rFonts w:ascii="Arial" w:hAnsi="Arial" w:cs="Arial"/>
          <w:color w:val="000000"/>
          <w:sz w:val="20"/>
          <w:szCs w:val="20"/>
          <w:lang w:val="it-IT"/>
        </w:rPr>
        <w:t xml:space="preserve">la branch italiana </w:t>
      </w:r>
      <w:r w:rsidR="005C0326">
        <w:rPr>
          <w:rFonts w:ascii="Arial" w:hAnsi="Arial" w:cs="Arial"/>
          <w:color w:val="000000"/>
          <w:sz w:val="20"/>
          <w:szCs w:val="20"/>
          <w:lang w:val="it-IT"/>
        </w:rPr>
        <w:t xml:space="preserve">di </w:t>
      </w:r>
      <w:r w:rsidRPr="00656794">
        <w:rPr>
          <w:rFonts w:ascii="Arial" w:hAnsi="Arial" w:cs="Arial"/>
          <w:color w:val="000000"/>
          <w:sz w:val="20"/>
          <w:szCs w:val="20"/>
          <w:lang w:val="it-IT"/>
        </w:rPr>
        <w:t>ZIC ha accettato di acquistare le azioni. ZLAP prevede che le azioni vengano trasferite a ZIC entro 5 giorni dalla data di assegnazione o non appena possibile.</w:t>
      </w:r>
    </w:p>
    <w:p w14:paraId="758AD2FA" w14:textId="72842311"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Alcuni fondi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attualmente offerti da ZLAP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DB6DBF">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non saranno disponibili per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873B88">
        <w:rPr>
          <w:rFonts w:ascii="Arial" w:hAnsi="Arial" w:cs="Arial"/>
          <w:color w:val="000000"/>
          <w:sz w:val="20"/>
          <w:szCs w:val="20"/>
          <w:lang w:val="it-IT"/>
        </w:rPr>
        <w:t xml:space="preserve"> </w:t>
      </w:r>
      <w:r w:rsidR="00A36BA1">
        <w:rPr>
          <w:rFonts w:ascii="Arial" w:hAnsi="Arial" w:cs="Arial"/>
          <w:color w:val="000000"/>
          <w:sz w:val="20"/>
          <w:szCs w:val="20"/>
          <w:lang w:val="it-IT"/>
        </w:rPr>
        <w:t>stessi</w:t>
      </w:r>
      <w:r w:rsidRPr="00656794">
        <w:rPr>
          <w:rFonts w:ascii="Arial" w:hAnsi="Arial" w:cs="Arial"/>
          <w:color w:val="000000"/>
          <w:sz w:val="20"/>
          <w:szCs w:val="20"/>
          <w:lang w:val="it-IT"/>
        </w:rPr>
        <w:t xml:space="preserve"> dopo </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i lavori sono in corso, anche se non completati, per disporre di fondi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sostitutivi adeguati prima </w:t>
      </w:r>
      <w:r w:rsidR="00DB6DBF">
        <w:rPr>
          <w:rFonts w:ascii="Arial" w:hAnsi="Arial" w:cs="Arial"/>
          <w:color w:val="000000"/>
          <w:sz w:val="20"/>
          <w:szCs w:val="20"/>
          <w:lang w:val="it-IT"/>
        </w:rPr>
        <w:t>della data ipotizzata di trasferimento</w:t>
      </w:r>
      <w:r w:rsidRPr="00656794">
        <w:rPr>
          <w:rFonts w:ascii="Arial" w:hAnsi="Arial" w:cs="Arial"/>
          <w:color w:val="000000"/>
          <w:sz w:val="20"/>
          <w:szCs w:val="20"/>
          <w:lang w:val="it-IT"/>
        </w:rPr>
        <w:t xml:space="preserve">. Questi fondi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sostitutivi forniranno mandati di investimento uguali o simili e prestazioni e costi in linea con le aspettative ragionevoli del contraente e i termini e le condizioni della polizza. Mi aspetto che venga concordata una risoluzione soddisfacente prima che io concluda la mia </w:t>
      </w:r>
      <w:r w:rsidR="005A36AD">
        <w:rPr>
          <w:rFonts w:ascii="Arial" w:hAnsi="Arial" w:cs="Arial"/>
          <w:color w:val="000000"/>
          <w:sz w:val="20"/>
          <w:szCs w:val="20"/>
          <w:lang w:val="it-IT"/>
        </w:rPr>
        <w:t>Relazione Integrativa</w:t>
      </w:r>
      <w:r w:rsidRPr="00656794">
        <w:rPr>
          <w:rFonts w:ascii="Arial" w:hAnsi="Arial" w:cs="Arial"/>
          <w:color w:val="000000"/>
          <w:sz w:val="20"/>
          <w:szCs w:val="20"/>
          <w:lang w:val="it-IT"/>
        </w:rPr>
        <w:t xml:space="preserve"> prima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udienza finale della Corte.</w:t>
      </w:r>
    </w:p>
    <w:p w14:paraId="69CCB75B" w14:textId="3412927F"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Ci sarà un piccolo numero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per i quali si prevede che non sarà disponibile un fondo </w:t>
      </w:r>
      <w:r w:rsidR="00DB6DBF" w:rsidRPr="00656794">
        <w:rPr>
          <w:rFonts w:ascii="Arial" w:hAnsi="Arial" w:cs="Arial"/>
          <w:color w:val="000000"/>
          <w:sz w:val="20"/>
          <w:szCs w:val="20"/>
          <w:lang w:val="it-IT"/>
        </w:rPr>
        <w:t>unit</w:t>
      </w:r>
      <w:r w:rsidR="00DB6DBF">
        <w:rPr>
          <w:rFonts w:ascii="Arial" w:hAnsi="Arial" w:cs="Arial"/>
          <w:color w:val="000000"/>
          <w:sz w:val="20"/>
          <w:szCs w:val="20"/>
          <w:lang w:val="it-IT"/>
        </w:rPr>
        <w:t xml:space="preserve">-linked </w:t>
      </w:r>
      <w:r w:rsidR="0075742D" w:rsidRPr="00656794">
        <w:rPr>
          <w:rFonts w:ascii="Arial" w:hAnsi="Arial" w:cs="Arial"/>
          <w:color w:val="000000"/>
          <w:sz w:val="20"/>
          <w:szCs w:val="20"/>
          <w:lang w:val="it-IT"/>
        </w:rPr>
        <w:t>sostitutiv</w:t>
      </w:r>
      <w:r w:rsidR="0075742D">
        <w:rPr>
          <w:rFonts w:ascii="Arial" w:hAnsi="Arial" w:cs="Arial"/>
          <w:color w:val="000000"/>
          <w:sz w:val="20"/>
          <w:szCs w:val="20"/>
          <w:lang w:val="it-IT"/>
        </w:rPr>
        <w:t>o</w:t>
      </w:r>
      <w:r w:rsidRPr="00656794">
        <w:rPr>
          <w:rFonts w:ascii="Arial" w:hAnsi="Arial" w:cs="Arial"/>
          <w:color w:val="000000"/>
          <w:sz w:val="20"/>
          <w:szCs w:val="20"/>
          <w:lang w:val="it-IT"/>
        </w:rPr>
        <w:t xml:space="preserve">. Sono in corso lavori al riguardo per comunicare direttamente con questi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prima 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per garantire che i loro interessi d</w:t>
      </w:r>
      <w:r w:rsidR="0075742D">
        <w:rPr>
          <w:rFonts w:ascii="Arial" w:hAnsi="Arial" w:cs="Arial"/>
          <w:color w:val="000000"/>
          <w:sz w:val="20"/>
          <w:szCs w:val="20"/>
          <w:lang w:val="it-IT"/>
        </w:rPr>
        <w:t>i</w:t>
      </w:r>
      <w:r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continuino a essere soddisfatti con scelte di investimento adeguate. Mi aspetto che venga concordata una risoluzione soddisfacente prima che io concluda la mia </w:t>
      </w:r>
      <w:r w:rsidR="005A36AD">
        <w:rPr>
          <w:rFonts w:ascii="Arial" w:hAnsi="Arial" w:cs="Arial"/>
          <w:color w:val="000000"/>
          <w:sz w:val="20"/>
          <w:szCs w:val="20"/>
          <w:lang w:val="it-IT"/>
        </w:rPr>
        <w:t>Relazione Integrativa</w:t>
      </w:r>
      <w:r w:rsidRPr="00656794">
        <w:rPr>
          <w:rFonts w:ascii="Arial" w:hAnsi="Arial" w:cs="Arial"/>
          <w:color w:val="000000"/>
          <w:sz w:val="20"/>
          <w:szCs w:val="20"/>
          <w:lang w:val="it-IT"/>
        </w:rPr>
        <w:t xml:space="preserve"> prima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udienza finale della Corte.</w:t>
      </w:r>
    </w:p>
    <w:p w14:paraId="6DA305AF" w14:textId="64B867F0"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Comprendo che saranno necessarie modifiche a determinat</w:t>
      </w:r>
      <w:r w:rsidR="0094302E">
        <w:rPr>
          <w:rFonts w:ascii="Arial" w:hAnsi="Arial" w:cs="Arial"/>
          <w:color w:val="000000"/>
          <w:sz w:val="20"/>
          <w:szCs w:val="20"/>
          <w:lang w:val="it-IT"/>
        </w:rPr>
        <w:t>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relativi a due dei prodotti della libertà di servizi per renderli compatibili con le normative italiane locali. La classificazione dei fondi delle quote ne</w:t>
      </w:r>
      <w:r w:rsidR="0094302E">
        <w:rPr>
          <w:rFonts w:ascii="Arial" w:hAnsi="Arial" w:cs="Arial"/>
          <w:color w:val="000000"/>
          <w:sz w:val="20"/>
          <w:szCs w:val="20"/>
          <w:lang w:val="it-IT"/>
        </w:rPr>
        <w:t>lle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cambierà da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fondi interni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fondi esterni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Il meccanismo per prelevare gli addebiti verrà modificato dal prezzo unitario alla detrazione unitaria. ZLAP ridurrà la sua commissione di gestione come parte di questo cambiamento.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riceveranno 2 mesi di preavviso e ogni </w:t>
      </w:r>
      <w:r w:rsidR="000640ED">
        <w:rPr>
          <w:rFonts w:ascii="Arial" w:hAnsi="Arial" w:cs="Arial"/>
          <w:color w:val="000000"/>
          <w:sz w:val="20"/>
          <w:szCs w:val="20"/>
          <w:lang w:val="it-IT"/>
        </w:rPr>
        <w:t>contraente</w:t>
      </w:r>
      <w:r w:rsidRPr="00656794">
        <w:rPr>
          <w:rFonts w:ascii="Arial" w:hAnsi="Arial" w:cs="Arial"/>
          <w:color w:val="000000"/>
          <w:sz w:val="20"/>
          <w:szCs w:val="20"/>
          <w:lang w:val="it-IT"/>
        </w:rPr>
        <w:t xml:space="preserve"> interessato avrà anche la possibilità di recedere dal contratto senza penali.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si troveranno in una posizione migliore dopo questo cambiamento in quanto avranno oneri inferiori. Non ci sarà alcun impatto negativo per </w:t>
      </w:r>
      <w:r w:rsidR="000640ED">
        <w:rPr>
          <w:rFonts w:ascii="Arial" w:hAnsi="Arial" w:cs="Arial"/>
          <w:color w:val="000000"/>
          <w:sz w:val="20"/>
          <w:szCs w:val="20"/>
          <w:lang w:val="it-IT"/>
        </w:rPr>
        <w:t>il contraente</w:t>
      </w:r>
      <w:r w:rsidRPr="00656794">
        <w:rPr>
          <w:rFonts w:ascii="Arial" w:hAnsi="Arial" w:cs="Arial"/>
          <w:color w:val="000000"/>
          <w:sz w:val="20"/>
          <w:szCs w:val="20"/>
          <w:lang w:val="it-IT"/>
        </w:rPr>
        <w:t xml:space="preserve"> e le modifiche pianificate sono puramente di natura tecnica. Lo prendo nota per completezza, ma poiché accade prima de</w:t>
      </w:r>
      <w:r w:rsidR="00757DE6" w:rsidRPr="00656794">
        <w:rPr>
          <w:rFonts w:ascii="Arial" w:hAnsi="Arial" w:cs="Arial"/>
          <w:color w:val="000000"/>
          <w:sz w:val="20"/>
          <w:szCs w:val="20"/>
          <w:lang w:val="it-IT"/>
        </w:rPr>
        <w:t>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è al di fuori del mio ambito formale. Presumo che non emergano questioni specifiche in relazione a questa specifica modifica e prendo atto che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saranno informati in merito, con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esatta tempistica delle comunicazioni da decidere.</w:t>
      </w:r>
    </w:p>
    <w:p w14:paraId="221DEC6F" w14:textId="11785967"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È in essere una riassicurazione su un numero limitato di polizze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Per meno di 100 polizze che hanno un rider di protezione,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indennità di protezione è </w:t>
      </w:r>
      <w:r w:rsidRPr="00656794">
        <w:rPr>
          <w:rFonts w:ascii="Arial" w:hAnsi="Arial" w:cs="Arial"/>
          <w:color w:val="000000"/>
          <w:sz w:val="20"/>
          <w:szCs w:val="20"/>
          <w:lang w:val="it-IT"/>
        </w:rPr>
        <w:lastRenderedPageBreak/>
        <w:t>retrocessa del 50% a ZIC (società madre). Come definito da entrambe le parti coinvolte nell</w:t>
      </w:r>
      <w:r w:rsidR="00F23A40" w:rsidRPr="00656794">
        <w:rPr>
          <w:rFonts w:ascii="Arial" w:hAnsi="Arial" w:cs="Arial"/>
          <w:color w:val="000000"/>
          <w:sz w:val="20"/>
          <w:szCs w:val="20"/>
          <w:lang w:val="it-IT"/>
        </w:rPr>
        <w:t>’</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accordo riassicurativo in essere verrà annullato. Questo è stato preso in considerazione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analisi della solidità finanziaria intrapresa.</w:t>
      </w:r>
    </w:p>
    <w:p w14:paraId="71041A7D" w14:textId="1997FE83"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Alla </w:t>
      </w:r>
      <w:r w:rsidR="00DB4C55">
        <w:rPr>
          <w:rFonts w:ascii="Arial" w:hAnsi="Arial" w:cs="Arial"/>
          <w:color w:val="000000"/>
          <w:sz w:val="20"/>
          <w:szCs w:val="20"/>
          <w:lang w:val="it-IT"/>
        </w:rPr>
        <w:t>data di trasferimento effettiva</w:t>
      </w:r>
      <w:r w:rsidRPr="00656794">
        <w:rPr>
          <w:rFonts w:ascii="Arial" w:hAnsi="Arial" w:cs="Arial"/>
          <w:color w:val="000000"/>
          <w:sz w:val="20"/>
          <w:szCs w:val="20"/>
          <w:lang w:val="it-IT"/>
        </w:rPr>
        <w:t>, il fornitore di amministrazione</w:t>
      </w:r>
      <w:r w:rsidR="00491F7E">
        <w:rPr>
          <w:rFonts w:ascii="Arial" w:hAnsi="Arial" w:cs="Arial"/>
          <w:color w:val="000000"/>
          <w:sz w:val="20"/>
          <w:szCs w:val="20"/>
          <w:lang w:val="it-IT"/>
        </w:rPr>
        <w:t xml:space="preserve"> del portafoglio</w:t>
      </w:r>
      <w:r w:rsidRPr="00656794">
        <w:rPr>
          <w:rFonts w:ascii="Arial" w:hAnsi="Arial" w:cs="Arial"/>
          <w:color w:val="000000"/>
          <w:sz w:val="20"/>
          <w:szCs w:val="20"/>
          <w:lang w:val="it-IT"/>
        </w:rPr>
        <w:t xml:space="preserve"> </w:t>
      </w:r>
      <w:r w:rsidR="00491F7E">
        <w:rPr>
          <w:rFonts w:ascii="Arial" w:hAnsi="Arial" w:cs="Arial"/>
          <w:color w:val="000000"/>
          <w:sz w:val="20"/>
          <w:szCs w:val="20"/>
          <w:lang w:val="it-IT"/>
        </w:rPr>
        <w:t xml:space="preserve">attualmente </w:t>
      </w:r>
      <w:r w:rsidRPr="00656794">
        <w:rPr>
          <w:rFonts w:ascii="Arial" w:hAnsi="Arial" w:cs="Arial"/>
          <w:color w:val="000000"/>
          <w:sz w:val="20"/>
          <w:szCs w:val="20"/>
          <w:lang w:val="it-IT"/>
        </w:rPr>
        <w:t>esistente Capita Ireland Limited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Capita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sarà sostituito da un fornitore di amministrazione alternativo, Previnet, che</w:t>
      </w:r>
      <w:r w:rsidR="00491F7E">
        <w:rPr>
          <w:rFonts w:ascii="Arial" w:hAnsi="Arial" w:cs="Arial"/>
          <w:color w:val="000000"/>
          <w:sz w:val="20"/>
          <w:szCs w:val="20"/>
          <w:lang w:val="it-IT"/>
        </w:rPr>
        <w:t xml:space="preserve"> rappresenta </w:t>
      </w:r>
      <w:r w:rsidRPr="00656794">
        <w:rPr>
          <w:rFonts w:ascii="Arial" w:hAnsi="Arial" w:cs="Arial"/>
          <w:color w:val="000000"/>
          <w:sz w:val="20"/>
          <w:szCs w:val="20"/>
          <w:lang w:val="it-IT"/>
        </w:rPr>
        <w:t xml:space="preserve">il fornitore di servizi in outsourcing scelto per questo </w:t>
      </w:r>
      <w:r w:rsidR="00D20690">
        <w:rPr>
          <w:rFonts w:ascii="Arial" w:hAnsi="Arial" w:cs="Arial"/>
          <w:color w:val="000000"/>
          <w:sz w:val="20"/>
          <w:szCs w:val="20"/>
          <w:lang w:val="it-IT"/>
        </w:rPr>
        <w:t>portafoglio assicurativo</w:t>
      </w:r>
      <w:r w:rsidR="00491F7E">
        <w:rPr>
          <w:rFonts w:ascii="Arial" w:hAnsi="Arial" w:cs="Arial"/>
          <w:color w:val="000000"/>
          <w:sz w:val="20"/>
          <w:szCs w:val="20"/>
          <w:lang w:val="it-IT"/>
        </w:rPr>
        <w:t xml:space="preserve">. Tale terza parte rappresenta un </w:t>
      </w:r>
      <w:r w:rsidRPr="00656794">
        <w:rPr>
          <w:rFonts w:ascii="Arial" w:hAnsi="Arial" w:cs="Arial"/>
          <w:color w:val="000000"/>
          <w:sz w:val="20"/>
          <w:szCs w:val="20"/>
          <w:lang w:val="it-IT"/>
        </w:rPr>
        <w:t xml:space="preserve">affermato fornitore di servizi in outsourcing a livello europeo, con una solida base in Italia. Il </w:t>
      </w:r>
      <w:r w:rsidR="00D20690">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w:t>
      </w:r>
      <w:r w:rsidR="00AA1E68">
        <w:rPr>
          <w:rFonts w:ascii="Arial" w:hAnsi="Arial" w:cs="Arial"/>
          <w:color w:val="000000"/>
          <w:sz w:val="20"/>
          <w:szCs w:val="20"/>
          <w:lang w:val="it-IT"/>
        </w:rPr>
        <w:t>è attualmente gestito</w:t>
      </w:r>
      <w:r w:rsidRPr="00656794">
        <w:rPr>
          <w:rFonts w:ascii="Arial" w:hAnsi="Arial" w:cs="Arial"/>
          <w:color w:val="000000"/>
          <w:sz w:val="20"/>
          <w:szCs w:val="20"/>
          <w:lang w:val="it-IT"/>
        </w:rPr>
        <w:t xml:space="preserve"> nei sistemi di amministrazione Life400 e ZLife 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ambito </w:t>
      </w:r>
      <w:r w:rsidR="005B7BBB" w:rsidRPr="00656794">
        <w:rPr>
          <w:rFonts w:ascii="Arial" w:hAnsi="Arial" w:cs="Arial"/>
          <w:color w:val="000000"/>
          <w:sz w:val="20"/>
          <w:szCs w:val="20"/>
          <w:lang w:val="it-IT"/>
        </w:rPr>
        <w:t>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w:t>
      </w:r>
      <w:r w:rsidR="008F4E06">
        <w:rPr>
          <w:rFonts w:ascii="Arial" w:hAnsi="Arial" w:cs="Arial"/>
          <w:color w:val="000000"/>
          <w:sz w:val="20"/>
          <w:szCs w:val="20"/>
          <w:lang w:val="it-IT"/>
        </w:rPr>
        <w:t>entrambe le componenti</w:t>
      </w:r>
      <w:r w:rsidRPr="00656794">
        <w:rPr>
          <w:rFonts w:ascii="Arial" w:hAnsi="Arial" w:cs="Arial"/>
          <w:color w:val="000000"/>
          <w:sz w:val="20"/>
          <w:szCs w:val="20"/>
          <w:lang w:val="it-IT"/>
        </w:rPr>
        <w:t xml:space="preserve"> stanno migrando ai sistemi Previnet.</w:t>
      </w:r>
    </w:p>
    <w:p w14:paraId="5405DB4C" w14:textId="7E2AD56A"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È stato istituito un gruppo di progetto comprendente rappresentanti di ZLAP, </w:t>
      </w:r>
      <w:r w:rsidR="003D0380">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ZIL e </w:t>
      </w:r>
      <w:r w:rsidR="003D0380">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Previnet </w:t>
      </w:r>
      <w:r w:rsidR="00E35659">
        <w:rPr>
          <w:rFonts w:ascii="Arial" w:hAnsi="Arial" w:cs="Arial"/>
          <w:color w:val="000000"/>
          <w:sz w:val="20"/>
          <w:szCs w:val="20"/>
          <w:lang w:val="it-IT"/>
        </w:rPr>
        <w:t>che ha l’obiettivo di</w:t>
      </w:r>
      <w:r w:rsidR="00E35659"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garantire la </w:t>
      </w:r>
      <w:r w:rsidR="00491F7E">
        <w:rPr>
          <w:rFonts w:ascii="Arial" w:hAnsi="Arial" w:cs="Arial"/>
          <w:color w:val="000000"/>
          <w:sz w:val="20"/>
          <w:szCs w:val="20"/>
          <w:lang w:val="it-IT"/>
        </w:rPr>
        <w:t xml:space="preserve">corretta </w:t>
      </w:r>
      <w:r w:rsidRPr="00656794">
        <w:rPr>
          <w:rFonts w:ascii="Arial" w:hAnsi="Arial" w:cs="Arial"/>
          <w:color w:val="000000"/>
          <w:sz w:val="20"/>
          <w:szCs w:val="20"/>
          <w:lang w:val="it-IT"/>
        </w:rPr>
        <w:t xml:space="preserve">transizione delle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xml:space="preserve">. Il completamento del progetto in linea con il </w:t>
      </w:r>
      <w:r w:rsidR="00E35659">
        <w:rPr>
          <w:rFonts w:ascii="Arial" w:hAnsi="Arial" w:cs="Arial"/>
          <w:color w:val="000000"/>
          <w:sz w:val="20"/>
          <w:szCs w:val="20"/>
          <w:lang w:val="it-IT"/>
        </w:rPr>
        <w:t>piano</w:t>
      </w:r>
      <w:r w:rsidR="00520314">
        <w:rPr>
          <w:rFonts w:ascii="Arial" w:hAnsi="Arial" w:cs="Arial"/>
          <w:color w:val="000000"/>
          <w:sz w:val="20"/>
          <w:szCs w:val="20"/>
          <w:lang w:val="it-IT"/>
        </w:rPr>
        <w:t xml:space="preserve"> di progetto</w:t>
      </w:r>
      <w:r w:rsidRPr="00656794">
        <w:rPr>
          <w:rFonts w:ascii="Arial" w:hAnsi="Arial" w:cs="Arial"/>
          <w:color w:val="000000"/>
          <w:sz w:val="20"/>
          <w:szCs w:val="20"/>
          <w:lang w:val="it-IT"/>
        </w:rPr>
        <w:t xml:space="preserve"> è la chiave per consentire il trasferimento del portafoglio. Sono </w:t>
      </w:r>
      <w:r w:rsidR="00520314">
        <w:rPr>
          <w:rFonts w:ascii="Arial" w:hAnsi="Arial" w:cs="Arial"/>
          <w:color w:val="000000"/>
          <w:sz w:val="20"/>
          <w:szCs w:val="20"/>
          <w:lang w:val="it-IT"/>
        </w:rPr>
        <w:t>già cominciate</w:t>
      </w:r>
      <w:r w:rsidRPr="00656794">
        <w:rPr>
          <w:rFonts w:ascii="Arial" w:hAnsi="Arial" w:cs="Arial"/>
          <w:color w:val="000000"/>
          <w:sz w:val="20"/>
          <w:szCs w:val="20"/>
          <w:lang w:val="it-IT"/>
        </w:rPr>
        <w:t xml:space="preserve"> </w:t>
      </w:r>
      <w:r w:rsidR="00520314">
        <w:rPr>
          <w:rFonts w:ascii="Arial" w:hAnsi="Arial" w:cs="Arial"/>
          <w:color w:val="000000"/>
          <w:sz w:val="20"/>
          <w:szCs w:val="20"/>
          <w:lang w:val="it-IT"/>
        </w:rPr>
        <w:t xml:space="preserve">le attività per </w:t>
      </w:r>
      <w:r w:rsidRPr="00656794">
        <w:rPr>
          <w:rFonts w:ascii="Arial" w:hAnsi="Arial" w:cs="Arial"/>
          <w:color w:val="000000"/>
          <w:sz w:val="20"/>
          <w:szCs w:val="20"/>
          <w:lang w:val="it-IT"/>
        </w:rPr>
        <w:t xml:space="preserve">la migrazione delle </w:t>
      </w:r>
      <w:r w:rsidR="007F54BB">
        <w:rPr>
          <w:rFonts w:ascii="Arial" w:hAnsi="Arial" w:cs="Arial"/>
          <w:color w:val="000000"/>
          <w:sz w:val="20"/>
          <w:szCs w:val="20"/>
          <w:lang w:val="it-IT"/>
        </w:rPr>
        <w:t>polizze</w:t>
      </w:r>
      <w:r w:rsidRPr="00656794">
        <w:rPr>
          <w:rFonts w:ascii="Arial" w:hAnsi="Arial" w:cs="Arial"/>
          <w:color w:val="000000"/>
          <w:sz w:val="20"/>
          <w:szCs w:val="20"/>
          <w:lang w:val="it-IT"/>
        </w:rPr>
        <w:t xml:space="preserve"> che, in base alla tempistica del progetto, dovrebbero protrarsi fino ad aprile 2022.</w:t>
      </w:r>
      <w:r w:rsidR="00453348">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Il calendario è stato soggetto a revisione </w:t>
      </w:r>
      <w:r w:rsidR="00114EC2">
        <w:rPr>
          <w:rFonts w:ascii="Arial" w:hAnsi="Arial" w:cs="Arial"/>
          <w:color w:val="000000"/>
          <w:sz w:val="20"/>
          <w:szCs w:val="20"/>
          <w:lang w:val="it-IT"/>
        </w:rPr>
        <w:t>dettagliata</w:t>
      </w:r>
      <w:r w:rsidRPr="00656794">
        <w:rPr>
          <w:rFonts w:ascii="Arial" w:hAnsi="Arial" w:cs="Arial"/>
          <w:color w:val="000000"/>
          <w:sz w:val="20"/>
          <w:szCs w:val="20"/>
          <w:lang w:val="it-IT"/>
        </w:rPr>
        <w:t xml:space="preserve"> da parte </w:t>
      </w:r>
      <w:r w:rsidR="003D0380">
        <w:rPr>
          <w:rFonts w:ascii="Arial" w:hAnsi="Arial" w:cs="Arial"/>
          <w:color w:val="000000"/>
          <w:sz w:val="20"/>
          <w:szCs w:val="20"/>
          <w:lang w:val="it-IT"/>
        </w:rPr>
        <w:t>del management di</w:t>
      </w:r>
      <w:r w:rsidRPr="00656794">
        <w:rPr>
          <w:rFonts w:ascii="Arial" w:hAnsi="Arial" w:cs="Arial"/>
          <w:color w:val="000000"/>
          <w:sz w:val="20"/>
          <w:szCs w:val="20"/>
          <w:lang w:val="it-IT"/>
        </w:rPr>
        <w:t xml:space="preserve"> ZLAP e </w:t>
      </w:r>
      <w:r w:rsidR="003D0380">
        <w:rPr>
          <w:rFonts w:ascii="Arial" w:hAnsi="Arial" w:cs="Arial"/>
          <w:color w:val="000000"/>
          <w:sz w:val="20"/>
          <w:szCs w:val="20"/>
          <w:lang w:val="it-IT"/>
        </w:rPr>
        <w:t xml:space="preserve">di </w:t>
      </w:r>
      <w:r w:rsidRPr="00656794">
        <w:rPr>
          <w:rFonts w:ascii="Arial" w:hAnsi="Arial" w:cs="Arial"/>
          <w:color w:val="000000"/>
          <w:sz w:val="20"/>
          <w:szCs w:val="20"/>
          <w:lang w:val="it-IT"/>
        </w:rPr>
        <w:t>ZIL.</w:t>
      </w:r>
    </w:p>
    <w:p w14:paraId="3C26DBF8" w14:textId="164DEA10" w:rsidR="005A0B19" w:rsidRPr="00656794" w:rsidRDefault="005A0B19" w:rsidP="005A0B19">
      <w:pPr>
        <w:pStyle w:val="NormalWeb"/>
        <w:ind w:right="102"/>
        <w:jc w:val="both"/>
        <w:rPr>
          <w:rFonts w:ascii="Arial" w:hAnsi="Arial" w:cs="Arial"/>
          <w:color w:val="000000"/>
          <w:sz w:val="20"/>
          <w:szCs w:val="20"/>
          <w:highlight w:val="yellow"/>
          <w:lang w:val="it-IT"/>
        </w:rPr>
      </w:pPr>
      <w:r w:rsidRPr="00656794">
        <w:rPr>
          <w:rFonts w:ascii="Arial" w:hAnsi="Arial" w:cs="Arial"/>
          <w:color w:val="000000"/>
          <w:sz w:val="20"/>
          <w:szCs w:val="20"/>
          <w:lang w:val="it-IT"/>
        </w:rPr>
        <w:t xml:space="preserve">Prevedo che il trasferimento del portafoglio avverrà solo una volta che 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xml:space="preserve"> saranno state trasferite in modo soddisfacente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ambito del </w:t>
      </w:r>
      <w:r w:rsidR="002A0598">
        <w:rPr>
          <w:rFonts w:ascii="Arial" w:hAnsi="Arial" w:cs="Arial"/>
          <w:color w:val="000000"/>
          <w:sz w:val="20"/>
          <w:szCs w:val="20"/>
          <w:lang w:val="it-IT"/>
        </w:rPr>
        <w:t>piano</w:t>
      </w:r>
      <w:r w:rsidRPr="00656794">
        <w:rPr>
          <w:rFonts w:ascii="Arial" w:hAnsi="Arial" w:cs="Arial"/>
          <w:color w:val="000000"/>
          <w:sz w:val="20"/>
          <w:szCs w:val="20"/>
          <w:lang w:val="it-IT"/>
        </w:rPr>
        <w:t xml:space="preserve"> di migrazione IT. La migrazione ha un </w:t>
      </w:r>
      <w:r w:rsidR="002A0598">
        <w:rPr>
          <w:rFonts w:ascii="Arial" w:hAnsi="Arial" w:cs="Arial"/>
          <w:color w:val="000000"/>
          <w:sz w:val="20"/>
          <w:szCs w:val="20"/>
          <w:lang w:val="it-IT"/>
        </w:rPr>
        <w:t>piano</w:t>
      </w:r>
      <w:r w:rsidRPr="00656794">
        <w:rPr>
          <w:rFonts w:ascii="Arial" w:hAnsi="Arial" w:cs="Arial"/>
          <w:color w:val="000000"/>
          <w:sz w:val="20"/>
          <w:szCs w:val="20"/>
          <w:lang w:val="it-IT"/>
        </w:rPr>
        <w:t xml:space="preserve"> di test definito </w:t>
      </w:r>
      <w:r w:rsidR="00AF6C34">
        <w:rPr>
          <w:rFonts w:ascii="Arial" w:hAnsi="Arial" w:cs="Arial"/>
          <w:color w:val="000000"/>
          <w:sz w:val="20"/>
          <w:szCs w:val="20"/>
          <w:lang w:val="it-IT"/>
        </w:rPr>
        <w:t xml:space="preserve">e </w:t>
      </w:r>
      <w:r w:rsidRPr="00656794">
        <w:rPr>
          <w:rFonts w:ascii="Arial" w:hAnsi="Arial" w:cs="Arial"/>
          <w:color w:val="000000"/>
          <w:sz w:val="20"/>
          <w:szCs w:val="20"/>
          <w:lang w:val="it-IT"/>
        </w:rPr>
        <w:t>concordato dalle due parti con un test comple</w:t>
      </w:r>
      <w:r w:rsidR="00AF6C34">
        <w:rPr>
          <w:rFonts w:ascii="Arial" w:hAnsi="Arial" w:cs="Arial"/>
          <w:color w:val="000000"/>
          <w:sz w:val="20"/>
          <w:szCs w:val="20"/>
          <w:lang w:val="it-IT"/>
        </w:rPr>
        <w:t>ssivo</w:t>
      </w:r>
      <w:r w:rsidRPr="00656794">
        <w:rPr>
          <w:rFonts w:ascii="Arial" w:hAnsi="Arial" w:cs="Arial"/>
          <w:color w:val="000000"/>
          <w:sz w:val="20"/>
          <w:szCs w:val="20"/>
          <w:lang w:val="it-IT"/>
        </w:rPr>
        <w:t xml:space="preserve"> pianificato. Mi aspetto che il progetto di migrazione venga completato prima della </w:t>
      </w:r>
      <w:r w:rsidR="00DB4C55">
        <w:rPr>
          <w:rFonts w:ascii="Arial" w:hAnsi="Arial" w:cs="Arial"/>
          <w:color w:val="000000"/>
          <w:sz w:val="20"/>
          <w:szCs w:val="20"/>
          <w:lang w:val="it-IT"/>
        </w:rPr>
        <w:t>data di trasferimento effettiva</w:t>
      </w:r>
      <w:r w:rsidR="00AF6C34">
        <w:rPr>
          <w:rFonts w:ascii="Arial" w:hAnsi="Arial" w:cs="Arial"/>
          <w:color w:val="000000"/>
          <w:sz w:val="20"/>
          <w:szCs w:val="20"/>
          <w:lang w:val="it-IT"/>
        </w:rPr>
        <w:t xml:space="preserve"> in modo da</w:t>
      </w:r>
      <w:r w:rsidRPr="00656794">
        <w:rPr>
          <w:rFonts w:ascii="Arial" w:hAnsi="Arial" w:cs="Arial"/>
          <w:color w:val="000000"/>
          <w:sz w:val="20"/>
          <w:szCs w:val="20"/>
          <w:lang w:val="it-IT"/>
        </w:rPr>
        <w:t xml:space="preserve"> garantire una transizione </w:t>
      </w:r>
      <w:r w:rsidR="00AF6C34">
        <w:rPr>
          <w:rFonts w:ascii="Arial" w:hAnsi="Arial" w:cs="Arial"/>
          <w:color w:val="000000"/>
          <w:sz w:val="20"/>
          <w:szCs w:val="20"/>
          <w:lang w:val="it-IT"/>
        </w:rPr>
        <w:t>che favorisca la</w:t>
      </w:r>
      <w:r w:rsidRPr="00656794">
        <w:rPr>
          <w:rFonts w:ascii="Arial" w:hAnsi="Arial" w:cs="Arial"/>
          <w:color w:val="000000"/>
          <w:sz w:val="20"/>
          <w:szCs w:val="20"/>
          <w:lang w:val="it-IT"/>
        </w:rPr>
        <w:t xml:space="preserve"> continuità in termini di servizi amministrativi </w:t>
      </w:r>
      <w:r w:rsidR="005B7BBB" w:rsidRPr="00656794">
        <w:rPr>
          <w:rFonts w:ascii="Arial" w:hAnsi="Arial" w:cs="Arial"/>
          <w:color w:val="000000"/>
          <w:sz w:val="20"/>
          <w:szCs w:val="20"/>
          <w:lang w:val="it-IT"/>
        </w:rPr>
        <w:t xml:space="preserve">per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453348">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senza alcun impatto sui servizi loro forniti prima, durante o dopo la </w:t>
      </w:r>
      <w:r w:rsidR="00DB414C">
        <w:rPr>
          <w:rFonts w:ascii="Arial" w:hAnsi="Arial" w:cs="Arial"/>
          <w:color w:val="000000"/>
          <w:sz w:val="20"/>
          <w:szCs w:val="20"/>
          <w:lang w:val="it-IT"/>
        </w:rPr>
        <w:t>Data di trasferimento effettiva</w:t>
      </w:r>
      <w:r w:rsidRPr="00656794">
        <w:rPr>
          <w:rFonts w:ascii="Arial" w:hAnsi="Arial" w:cs="Arial"/>
          <w:color w:val="000000"/>
          <w:sz w:val="20"/>
          <w:szCs w:val="20"/>
          <w:lang w:val="it-IT"/>
        </w:rPr>
        <w:t>. Continuerò a monitorare i progressi di questo progetto prima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udienza finale della Corte per garantire che la migrazione sia stata completata con successo.</w:t>
      </w:r>
    </w:p>
    <w:p w14:paraId="71DBF5CA" w14:textId="2154DEC1" w:rsidR="005A0B19" w:rsidRPr="00656794" w:rsidRDefault="005A0B19"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In data 30 aprile 2021 è stata inviata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una segnalazione relativa alle prescrizioni in materia di antiriciclaggio delineate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IVASS nel corso di una recente ispezione. Comprendo che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 xml:space="preserve"> risponde ai requisiti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Presumo che non siano previste ulteriori aree di interesse normativo nei prossimi mesi che potrebbero influire o ritardare il trasferimento del portafoglio.</w:t>
      </w:r>
    </w:p>
    <w:p w14:paraId="20834019" w14:textId="20FF0E82" w:rsidR="00E079C7" w:rsidRPr="00656794" w:rsidRDefault="00E079C7" w:rsidP="005A0B1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Le ipotesi di cui sopra sono alla base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analisi e delle conclusioni </w:t>
      </w:r>
      <w:r w:rsidR="005B7BBB" w:rsidRPr="00656794">
        <w:rPr>
          <w:rFonts w:ascii="Arial" w:hAnsi="Arial" w:cs="Arial"/>
          <w:color w:val="000000"/>
          <w:sz w:val="20"/>
          <w:szCs w:val="20"/>
          <w:lang w:val="it-IT"/>
        </w:rPr>
        <w:t>della mia Relazione</w:t>
      </w:r>
      <w:r w:rsidRPr="00656794">
        <w:rPr>
          <w:rFonts w:ascii="Arial" w:hAnsi="Arial" w:cs="Arial"/>
          <w:color w:val="000000"/>
          <w:sz w:val="20"/>
          <w:szCs w:val="20"/>
          <w:lang w:val="it-IT"/>
        </w:rPr>
        <w:t>. Se qualcuno di questi presupposti dovesse cambiare, potrebbe cambiare anche la mia opinione. Ho valutato ciascuna di queste ipotesi e la loro rilevanza nella Sezione 7.5 della Relazione.</w:t>
      </w:r>
    </w:p>
    <w:p w14:paraId="7F785561" w14:textId="6C170EA1" w:rsidR="00E079C7" w:rsidRPr="00656794" w:rsidRDefault="00E079C7" w:rsidP="005A0B19">
      <w:pPr>
        <w:pStyle w:val="NormalWeb"/>
        <w:ind w:right="102"/>
        <w:jc w:val="both"/>
        <w:rPr>
          <w:rFonts w:ascii="Arial" w:hAnsi="Arial" w:cs="Arial"/>
          <w:color w:val="000000"/>
          <w:sz w:val="20"/>
          <w:szCs w:val="20"/>
          <w:lang w:val="it-IT"/>
        </w:rPr>
      </w:pPr>
      <w:r w:rsidRPr="00656794">
        <w:rPr>
          <w:rFonts w:ascii="Arial" w:hAnsi="Arial" w:cs="Arial"/>
          <w:color w:val="00338D"/>
          <w:lang w:val="it-IT"/>
        </w:rPr>
        <w:t xml:space="preserve">2.1.5 </w:t>
      </w:r>
      <w:r w:rsidR="008A525A" w:rsidRPr="00656794">
        <w:rPr>
          <w:rFonts w:ascii="Arial" w:hAnsi="Arial" w:cs="Arial"/>
          <w:color w:val="00338D"/>
          <w:lang w:val="it-IT"/>
        </w:rPr>
        <w:t>Risultati</w:t>
      </w:r>
    </w:p>
    <w:p w14:paraId="3B3BB457" w14:textId="22C6FE1A"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 risultati </w:t>
      </w:r>
      <w:r w:rsidR="005B7BBB" w:rsidRPr="00656794">
        <w:rPr>
          <w:rFonts w:ascii="Arial" w:hAnsi="Arial" w:cs="Arial"/>
          <w:color w:val="000000"/>
          <w:sz w:val="20"/>
          <w:szCs w:val="20"/>
          <w:lang w:val="it-IT"/>
        </w:rPr>
        <w:t>della mia Relazione</w:t>
      </w:r>
      <w:r w:rsidRPr="00656794">
        <w:rPr>
          <w:rFonts w:ascii="Arial" w:hAnsi="Arial" w:cs="Arial"/>
          <w:color w:val="000000"/>
          <w:sz w:val="20"/>
          <w:szCs w:val="20"/>
          <w:lang w:val="it-IT"/>
        </w:rPr>
        <w:t xml:space="preserve"> sono riassunti di seguito.</w:t>
      </w:r>
    </w:p>
    <w:p w14:paraId="7C823B74" w14:textId="4CC2B159"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Sia ZLAP che ZIL sono </w:t>
      </w:r>
      <w:r w:rsidR="00AC0F9F">
        <w:rPr>
          <w:rFonts w:ascii="Arial" w:hAnsi="Arial" w:cs="Arial"/>
          <w:color w:val="000000"/>
          <w:sz w:val="20"/>
          <w:szCs w:val="20"/>
          <w:lang w:val="it-IT"/>
        </w:rPr>
        <w:t>controllate indirette</w:t>
      </w:r>
      <w:r w:rsidRPr="00656794">
        <w:rPr>
          <w:rFonts w:ascii="Arial" w:hAnsi="Arial" w:cs="Arial"/>
          <w:color w:val="000000"/>
          <w:sz w:val="20"/>
          <w:szCs w:val="20"/>
          <w:lang w:val="it-IT"/>
        </w:rPr>
        <w:t xml:space="preserve"> di ZIG, una compagnia assicurativa multinazionale con sede a Zurigo, Svizzera. Entrambe le entità possono continuare ad avvalersi del sostegno patrimoniale dalla </w:t>
      </w:r>
      <w:r w:rsidR="002A2DCF">
        <w:rPr>
          <w:rFonts w:ascii="Arial" w:hAnsi="Arial" w:cs="Arial"/>
          <w:color w:val="000000"/>
          <w:sz w:val="20"/>
          <w:szCs w:val="20"/>
          <w:lang w:val="it-IT"/>
        </w:rPr>
        <w:t xml:space="preserve">società </w:t>
      </w:r>
      <w:r w:rsidRPr="00656794">
        <w:rPr>
          <w:rFonts w:ascii="Arial" w:hAnsi="Arial" w:cs="Arial"/>
          <w:color w:val="000000"/>
          <w:sz w:val="20"/>
          <w:szCs w:val="20"/>
          <w:lang w:val="it-IT"/>
        </w:rPr>
        <w:t xml:space="preserve">madre, se necessario. </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w:t>
      </w:r>
      <w:r w:rsidR="002A0598">
        <w:rPr>
          <w:rFonts w:ascii="Arial" w:hAnsi="Arial" w:cs="Arial"/>
          <w:color w:val="000000"/>
          <w:sz w:val="20"/>
          <w:szCs w:val="20"/>
          <w:lang w:val="it-IT"/>
        </w:rPr>
        <w:t>apporta nessun cambiamento</w:t>
      </w:r>
      <w:r w:rsidR="00485F2F">
        <w:rPr>
          <w:rFonts w:ascii="Arial" w:hAnsi="Arial" w:cs="Arial"/>
          <w:color w:val="000000"/>
          <w:sz w:val="20"/>
          <w:szCs w:val="20"/>
          <w:lang w:val="it-IT"/>
        </w:rPr>
        <w:t xml:space="preserve"> a questo</w:t>
      </w:r>
      <w:r w:rsidRPr="00656794">
        <w:rPr>
          <w:rFonts w:ascii="Arial" w:hAnsi="Arial" w:cs="Arial"/>
          <w:color w:val="000000"/>
          <w:sz w:val="20"/>
          <w:szCs w:val="20"/>
          <w:lang w:val="it-IT"/>
        </w:rPr>
        <w:t>.</w:t>
      </w:r>
    </w:p>
    <w:p w14:paraId="2B2FC6C8" w14:textId="3136BDD3"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ZLAP e ZIL sono assoggettate rispettivamente alla vigilanza di CBI e </w:t>
      </w:r>
      <w:r w:rsidR="00485F2F">
        <w:rPr>
          <w:rFonts w:ascii="Arial" w:hAnsi="Arial" w:cs="Arial"/>
          <w:color w:val="000000"/>
          <w:sz w:val="20"/>
          <w:szCs w:val="20"/>
          <w:lang w:val="it-IT"/>
        </w:rPr>
        <w:t xml:space="preserve">di </w:t>
      </w:r>
      <w:r w:rsidRPr="00656794">
        <w:rPr>
          <w:rFonts w:ascii="Arial" w:hAnsi="Arial" w:cs="Arial"/>
          <w:color w:val="000000"/>
          <w:sz w:val="20"/>
          <w:szCs w:val="20"/>
          <w:lang w:val="it-IT"/>
        </w:rPr>
        <w:t>IVASS e sono regolamentate in regime di Solvency II. Sebbene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di vigilanza possa differire, il regime patrimoniale di vigilanza è lo stesso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ambito </w:t>
      </w:r>
      <w:r w:rsidR="005B7BBB" w:rsidRPr="00656794">
        <w:rPr>
          <w:rFonts w:ascii="Arial" w:hAnsi="Arial" w:cs="Arial"/>
          <w:color w:val="000000"/>
          <w:sz w:val="20"/>
          <w:szCs w:val="20"/>
          <w:lang w:val="it-IT"/>
        </w:rPr>
        <w:t>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62E9A106" w14:textId="77777777"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In linea con i requisiti normativi e le buone pratiche, sia ZLAP che ZIL dispongono di strutture complete di gestione e governance del rischio, con la supervisione dei rispettivi Consigli.</w:t>
      </w:r>
    </w:p>
    <w:p w14:paraId="37D35020" w14:textId="656A4A5A"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Non ci sono modifiche a</w:t>
      </w:r>
      <w:r w:rsidR="0094302E">
        <w:rPr>
          <w:rFonts w:ascii="Arial" w:hAnsi="Arial" w:cs="Arial"/>
          <w:color w:val="000000"/>
          <w:sz w:val="20"/>
          <w:szCs w:val="20"/>
          <w:lang w:val="it-IT"/>
        </w:rPr>
        <w:t>lle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italiani a seguito 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sebbene siano pianificate modifiche ai termini e alle condizioni (solo per una gamma predeterminata di prodotti) per renderli compatibili con </w:t>
      </w:r>
      <w:r w:rsidR="00AC0F9F">
        <w:rPr>
          <w:rFonts w:ascii="Arial" w:hAnsi="Arial" w:cs="Arial"/>
          <w:color w:val="000000"/>
          <w:sz w:val="20"/>
          <w:szCs w:val="20"/>
          <w:lang w:val="it-IT"/>
        </w:rPr>
        <w:t>le normative locali italiane</w:t>
      </w:r>
      <w:r w:rsidRPr="00656794">
        <w:rPr>
          <w:rFonts w:ascii="Arial" w:hAnsi="Arial" w:cs="Arial"/>
          <w:color w:val="000000"/>
          <w:sz w:val="20"/>
          <w:szCs w:val="20"/>
          <w:lang w:val="it-IT"/>
        </w:rPr>
        <w:t>.</w:t>
      </w:r>
    </w:p>
    <w:p w14:paraId="40B5B983" w14:textId="2E7DCF8F"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xml:space="preserve">■ ZLAP ha esposto la propria interpretazione delle aspettative ragionevoli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in relazione al </w:t>
      </w:r>
      <w:r w:rsidR="00D20690">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trasferito e, sebbene il concetto non esista in ZIL, ha riconosciuto i principi e si è </w:t>
      </w:r>
      <w:r w:rsidR="00A84D11" w:rsidRPr="00656794">
        <w:rPr>
          <w:rFonts w:ascii="Arial" w:hAnsi="Arial" w:cs="Arial"/>
          <w:color w:val="000000"/>
          <w:sz w:val="20"/>
          <w:szCs w:val="20"/>
          <w:lang w:val="it-IT"/>
        </w:rPr>
        <w:t>impegnat</w:t>
      </w:r>
      <w:r w:rsidR="00A84D11">
        <w:rPr>
          <w:rFonts w:ascii="Arial" w:hAnsi="Arial" w:cs="Arial"/>
          <w:color w:val="000000"/>
          <w:sz w:val="20"/>
          <w:szCs w:val="20"/>
          <w:lang w:val="it-IT"/>
        </w:rPr>
        <w:t>a</w:t>
      </w:r>
      <w:r w:rsidR="00A84D11"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a continuare a utilizzare tali principi nella gestione del </w:t>
      </w:r>
      <w:r w:rsidR="00AC0F9F">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in futuro.</w:t>
      </w:r>
    </w:p>
    <w:p w14:paraId="169AA0EC" w14:textId="4DA10039"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Alla </w:t>
      </w:r>
      <w:r w:rsidR="00DB4C55">
        <w:rPr>
          <w:rFonts w:ascii="Arial" w:hAnsi="Arial" w:cs="Arial"/>
          <w:color w:val="000000"/>
          <w:sz w:val="20"/>
          <w:szCs w:val="20"/>
          <w:lang w:val="it-IT"/>
        </w:rPr>
        <w:t>Data di trasferimento effettiva</w:t>
      </w:r>
      <w:r w:rsidRPr="00656794">
        <w:rPr>
          <w:rFonts w:ascii="Arial" w:hAnsi="Arial" w:cs="Arial"/>
          <w:color w:val="000000"/>
          <w:sz w:val="20"/>
          <w:szCs w:val="20"/>
          <w:lang w:val="it-IT"/>
        </w:rPr>
        <w:t>, è previsto che il fornitore di amministrazione esistente Capita sarà sostituito da un fornitore di amministrazione alternativo, Previnet, che è un fornitore di s</w:t>
      </w:r>
      <w:r w:rsidR="00DE0E28">
        <w:rPr>
          <w:rFonts w:ascii="Arial" w:hAnsi="Arial" w:cs="Arial"/>
          <w:color w:val="000000"/>
          <w:sz w:val="20"/>
          <w:szCs w:val="20"/>
          <w:lang w:val="it-IT"/>
        </w:rPr>
        <w:t>e</w:t>
      </w:r>
      <w:r w:rsidRPr="00656794">
        <w:rPr>
          <w:rFonts w:ascii="Arial" w:hAnsi="Arial" w:cs="Arial"/>
          <w:color w:val="000000"/>
          <w:sz w:val="20"/>
          <w:szCs w:val="20"/>
          <w:lang w:val="it-IT"/>
        </w:rPr>
        <w:t xml:space="preserve">rvizi in outsourcing affermato a livello europeo con sede in Italia. In linea con il </w:t>
      </w:r>
      <w:r w:rsidR="007C28E7">
        <w:rPr>
          <w:rFonts w:ascii="Arial" w:hAnsi="Arial" w:cs="Arial"/>
          <w:color w:val="000000"/>
          <w:sz w:val="20"/>
          <w:szCs w:val="20"/>
          <w:lang w:val="it-IT"/>
        </w:rPr>
        <w:t>Contratto di vendita aziendale</w:t>
      </w:r>
      <w:r w:rsidRPr="00656794">
        <w:rPr>
          <w:rFonts w:ascii="Arial" w:hAnsi="Arial" w:cs="Arial"/>
          <w:color w:val="000000"/>
          <w:sz w:val="20"/>
          <w:szCs w:val="20"/>
          <w:lang w:val="it-IT"/>
        </w:rPr>
        <w:t xml:space="preserve">, la migrazione IT sarà completata prima del trasferimento del portafoglio. </w:t>
      </w:r>
      <w:r w:rsidR="00AF6C34" w:rsidRPr="00AF6C34">
        <w:rPr>
          <w:rFonts w:ascii="Arial" w:hAnsi="Arial" w:cs="Arial"/>
          <w:color w:val="000000"/>
          <w:sz w:val="20"/>
          <w:szCs w:val="20"/>
          <w:lang w:val="it-IT"/>
        </w:rPr>
        <w:t xml:space="preserve">Prevedo che il progetto di migrazione verrà completato in anticipo rispetto alla data effettiva di trasferimento, in modo da garantire una transizione che favorisca la continuità in termini di servizi amministrativi per </w:t>
      </w:r>
      <w:r w:rsidR="00DC30A5">
        <w:rPr>
          <w:rFonts w:ascii="Arial" w:hAnsi="Arial" w:cs="Arial"/>
          <w:color w:val="000000"/>
          <w:sz w:val="20"/>
          <w:szCs w:val="20"/>
          <w:lang w:val="it-IT"/>
        </w:rPr>
        <w:t>i</w:t>
      </w:r>
      <w:r w:rsidR="00DC30A5" w:rsidRPr="00AF6C3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AF6C34" w:rsidRPr="00AF6C34">
        <w:rPr>
          <w:rFonts w:ascii="Arial" w:hAnsi="Arial" w:cs="Arial"/>
          <w:color w:val="000000"/>
          <w:sz w:val="20"/>
          <w:szCs w:val="20"/>
          <w:lang w:val="it-IT"/>
        </w:rPr>
        <w:t>, senza alcun impatto sui servizi loro forniti prima, durante e dopo la data di trasferimento effettiva</w:t>
      </w:r>
      <w:r w:rsidRPr="00656794">
        <w:rPr>
          <w:rFonts w:ascii="Arial" w:hAnsi="Arial" w:cs="Arial"/>
          <w:color w:val="000000"/>
          <w:sz w:val="20"/>
          <w:szCs w:val="20"/>
          <w:lang w:val="it-IT"/>
        </w:rPr>
        <w:t>.</w:t>
      </w:r>
    </w:p>
    <w:p w14:paraId="5FC9D05A" w14:textId="68EF0A8D"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Ho considerato la solidità patrimoniale di ZLAP e </w:t>
      </w:r>
      <w:r w:rsidR="00257DDB">
        <w:rPr>
          <w:rFonts w:ascii="Arial" w:hAnsi="Arial" w:cs="Arial"/>
          <w:color w:val="000000"/>
          <w:sz w:val="20"/>
          <w:szCs w:val="20"/>
          <w:lang w:val="it-IT"/>
        </w:rPr>
        <w:t xml:space="preserve">di </w:t>
      </w:r>
      <w:r w:rsidRPr="00656794">
        <w:rPr>
          <w:rFonts w:ascii="Arial" w:hAnsi="Arial" w:cs="Arial"/>
          <w:color w:val="000000"/>
          <w:sz w:val="20"/>
          <w:szCs w:val="20"/>
          <w:lang w:val="it-IT"/>
        </w:rPr>
        <w:t>ZIL sia prima che dopo il trasferimento. Ho basato la mia analisi finanziaria, per entrambe le entità, sulle comunicazioni regolamentari al 31 dicembre 2020, sui rendiconti finanziari certificati al 31 dicembre 2020, sui rapporti ORSA (che proiettano la copertura della solvibilità su tre o quattro anni in un caso base e un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ampia gamma di scenari di stress) e ulteriori analisi supplementari messe a mia disposizione, in particolare i risultati pro-forma di ZIL per il 31 dicembre 2020 e il 30 giugno 2021. Di seguito è riportato un riepilogo della solidità patrimoniale di ZLAP e ZIL prima e dopo il trasferimento.</w:t>
      </w:r>
    </w:p>
    <w:tbl>
      <w:tblPr>
        <w:tblW w:w="0" w:type="auto"/>
        <w:tblCellMar>
          <w:top w:w="15" w:type="dxa"/>
          <w:left w:w="15" w:type="dxa"/>
          <w:bottom w:w="15" w:type="dxa"/>
          <w:right w:w="15" w:type="dxa"/>
        </w:tblCellMar>
        <w:tblLook w:val="04A0" w:firstRow="1" w:lastRow="0" w:firstColumn="1" w:lastColumn="0" w:noHBand="0" w:noVBand="1"/>
      </w:tblPr>
      <w:tblGrid>
        <w:gridCol w:w="2903"/>
        <w:gridCol w:w="1401"/>
        <w:gridCol w:w="1401"/>
        <w:gridCol w:w="1401"/>
        <w:gridCol w:w="1900"/>
      </w:tblGrid>
      <w:tr w:rsidR="00E079C7" w:rsidRPr="00B84464" w14:paraId="547F2600" w14:textId="77777777" w:rsidTr="00CD32BD">
        <w:trPr>
          <w:trHeight w:val="192"/>
        </w:trPr>
        <w:tc>
          <w:tcPr>
            <w:tcW w:w="9006" w:type="dxa"/>
            <w:gridSpan w:val="5"/>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41E3A008" w14:textId="424AC9D9" w:rsidR="00E079C7" w:rsidRPr="00656794" w:rsidRDefault="0078464F" w:rsidP="00E079C7">
            <w:pPr>
              <w:spacing w:after="0" w:line="240" w:lineRule="auto"/>
              <w:ind w:left="117"/>
              <w:rPr>
                <w:rFonts w:ascii="Times New Roman" w:eastAsia="Times New Roman" w:hAnsi="Times New Roman" w:cs="Times New Roman"/>
                <w:color w:val="000000" w:themeColor="text1"/>
                <w:sz w:val="24"/>
                <w:szCs w:val="24"/>
                <w:lang w:val="it-IT" w:eastAsia="en-IE"/>
              </w:rPr>
            </w:pPr>
            <w:r w:rsidRPr="00656794">
              <w:rPr>
                <w:rFonts w:ascii="Arial" w:eastAsia="Times New Roman" w:hAnsi="Arial" w:cs="Arial"/>
                <w:b/>
                <w:bCs/>
                <w:color w:val="FFFFFF" w:themeColor="background1"/>
                <w:sz w:val="18"/>
                <w:szCs w:val="18"/>
                <w:lang w:val="it-IT" w:eastAsia="en-IE"/>
              </w:rPr>
              <w:t xml:space="preserve">Tabella 2.1: ZLAP </w:t>
            </w:r>
            <w:r w:rsidR="00AF390E" w:rsidRPr="00656794">
              <w:rPr>
                <w:rFonts w:ascii="Arial" w:eastAsia="Times New Roman" w:hAnsi="Arial" w:cs="Arial"/>
                <w:b/>
                <w:bCs/>
                <w:color w:val="FFFFFF" w:themeColor="background1"/>
                <w:sz w:val="18"/>
                <w:szCs w:val="18"/>
                <w:lang w:val="it-IT" w:eastAsia="en-IE"/>
              </w:rPr>
              <w:t>Proforma</w:t>
            </w:r>
            <w:r w:rsidRPr="00656794">
              <w:rPr>
                <w:rFonts w:ascii="Arial" w:eastAsia="Times New Roman" w:hAnsi="Arial" w:cs="Arial"/>
                <w:b/>
                <w:bCs/>
                <w:color w:val="FFFFFF" w:themeColor="background1"/>
                <w:sz w:val="18"/>
                <w:szCs w:val="18"/>
                <w:lang w:val="it-IT" w:eastAsia="en-IE"/>
              </w:rPr>
              <w:t xml:space="preserve"> Solvency Position al 31 dicembre 2020 e 30 giugno 2021 - €m</w:t>
            </w:r>
          </w:p>
        </w:tc>
      </w:tr>
      <w:tr w:rsidR="00E079C7" w:rsidRPr="00656794" w14:paraId="003361DF" w14:textId="77777777" w:rsidTr="00CD32BD">
        <w:trPr>
          <w:trHeight w:val="424"/>
        </w:trPr>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CE1B8B3" w14:textId="749C66DC" w:rsidR="00E079C7" w:rsidRPr="00656794" w:rsidRDefault="00E079C7" w:rsidP="00E079C7">
            <w:pPr>
              <w:spacing w:after="0" w:line="240" w:lineRule="auto"/>
              <w:ind w:left="121"/>
              <w:rPr>
                <w:rFonts w:ascii="Times New Roman" w:eastAsia="Times New Roman" w:hAnsi="Times New Roman" w:cs="Times New Roman"/>
                <w:color w:val="000000" w:themeColor="text1"/>
                <w:sz w:val="24"/>
                <w:szCs w:val="24"/>
                <w:lang w:val="it-IT" w:eastAsia="en-IE"/>
              </w:rPr>
            </w:pPr>
            <w:r w:rsidRPr="00656794">
              <w:rPr>
                <w:rFonts w:ascii="Arial" w:eastAsia="Times New Roman" w:hAnsi="Arial" w:cs="Arial"/>
                <w:b/>
                <w:bCs/>
                <w:color w:val="000000" w:themeColor="text1"/>
                <w:sz w:val="18"/>
                <w:szCs w:val="18"/>
                <w:shd w:val="clear" w:color="auto" w:fill="C0C0C0"/>
                <w:lang w:val="it-IT" w:eastAsia="en-IE"/>
              </w:rPr>
              <w:t>Component</w:t>
            </w:r>
            <w:r w:rsidR="0078464F" w:rsidRPr="00656794">
              <w:rPr>
                <w:rFonts w:ascii="Arial" w:eastAsia="Times New Roman" w:hAnsi="Arial" w:cs="Arial"/>
                <w:b/>
                <w:bCs/>
                <w:color w:val="000000" w:themeColor="text1"/>
                <w:sz w:val="18"/>
                <w:szCs w:val="18"/>
                <w:shd w:val="clear" w:color="auto" w:fill="C0C0C0"/>
                <w:lang w:val="it-IT" w:eastAsia="en-IE"/>
              </w:rPr>
              <w:t>i</w:t>
            </w:r>
            <w:r w:rsidRPr="00656794">
              <w:rPr>
                <w:rFonts w:ascii="Arial" w:eastAsia="Times New Roman" w:hAnsi="Arial" w:cs="Arial"/>
                <w:b/>
                <w:bCs/>
                <w:color w:val="000000" w:themeColor="text1"/>
                <w:sz w:val="18"/>
                <w:szCs w:val="18"/>
                <w:shd w:val="clear" w:color="auto" w:fill="C0C0C0"/>
                <w:lang w:val="it-IT" w:eastAsia="en-IE"/>
              </w:rPr>
              <w:t> </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625007E2" w14:textId="77777777" w:rsidR="0078464F" w:rsidRPr="00656794" w:rsidRDefault="0078464F" w:rsidP="0078464F">
            <w:pPr>
              <w:spacing w:after="0" w:line="240" w:lineRule="auto"/>
              <w:jc w:val="center"/>
              <w:rPr>
                <w:rFonts w:ascii="Arial" w:eastAsia="Times New Roman" w:hAnsi="Arial" w:cs="Arial"/>
                <w:b/>
                <w:bCs/>
                <w:color w:val="000000" w:themeColor="text1"/>
                <w:sz w:val="18"/>
                <w:szCs w:val="18"/>
                <w:shd w:val="clear" w:color="auto" w:fill="CCCCCC"/>
                <w:lang w:val="it-IT" w:eastAsia="en-IE"/>
              </w:rPr>
            </w:pPr>
            <w:r w:rsidRPr="00656794">
              <w:rPr>
                <w:rFonts w:ascii="Arial" w:eastAsia="Times New Roman" w:hAnsi="Arial" w:cs="Arial"/>
                <w:b/>
                <w:bCs/>
                <w:color w:val="000000" w:themeColor="text1"/>
                <w:sz w:val="18"/>
                <w:szCs w:val="18"/>
                <w:shd w:val="clear" w:color="auto" w:fill="CCCCCC"/>
                <w:lang w:val="it-IT" w:eastAsia="en-IE"/>
              </w:rPr>
              <w:t>Pre</w:t>
            </w:r>
          </w:p>
          <w:p w14:paraId="04372116" w14:textId="334B61AA" w:rsidR="00E079C7" w:rsidRPr="00656794" w:rsidRDefault="0078464F" w:rsidP="0078464F">
            <w:pPr>
              <w:spacing w:after="0" w:line="240" w:lineRule="auto"/>
              <w:jc w:val="center"/>
              <w:rPr>
                <w:rFonts w:ascii="Times New Roman" w:eastAsia="Times New Roman" w:hAnsi="Times New Roman" w:cs="Times New Roman"/>
                <w:color w:val="000000" w:themeColor="text1"/>
                <w:sz w:val="24"/>
                <w:szCs w:val="24"/>
                <w:lang w:val="it-IT" w:eastAsia="en-IE"/>
              </w:rPr>
            </w:pPr>
            <w:r w:rsidRPr="00656794">
              <w:rPr>
                <w:rFonts w:ascii="Arial" w:eastAsia="Times New Roman" w:hAnsi="Arial" w:cs="Arial"/>
                <w:b/>
                <w:bCs/>
                <w:color w:val="000000" w:themeColor="text1"/>
                <w:sz w:val="18"/>
                <w:szCs w:val="18"/>
                <w:shd w:val="clear" w:color="auto" w:fill="CCCCCC"/>
                <w:lang w:val="it-IT" w:eastAsia="en-IE"/>
              </w:rPr>
              <w:t>Trasferimento</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51FCF86C" w14:textId="77777777" w:rsidR="00E079C7" w:rsidRPr="00656794" w:rsidRDefault="00E079C7" w:rsidP="00E079C7">
            <w:pPr>
              <w:spacing w:after="0" w:line="240" w:lineRule="auto"/>
              <w:jc w:val="center"/>
              <w:rPr>
                <w:rFonts w:ascii="Times New Roman" w:eastAsia="Times New Roman" w:hAnsi="Times New Roman" w:cs="Times New Roman"/>
                <w:color w:val="000000" w:themeColor="text1"/>
                <w:sz w:val="24"/>
                <w:szCs w:val="24"/>
                <w:lang w:val="it-IT" w:eastAsia="en-IE"/>
              </w:rPr>
            </w:pPr>
            <w:r w:rsidRPr="00656794">
              <w:rPr>
                <w:rFonts w:ascii="Arial" w:eastAsia="Times New Roman" w:hAnsi="Arial" w:cs="Arial"/>
                <w:b/>
                <w:bCs/>
                <w:color w:val="000000" w:themeColor="text1"/>
                <w:sz w:val="18"/>
                <w:szCs w:val="18"/>
                <w:shd w:val="clear" w:color="auto" w:fill="CCCCCC"/>
                <w:lang w:val="it-IT" w:eastAsia="en-IE"/>
              </w:rPr>
              <w:t>Post </w:t>
            </w:r>
          </w:p>
          <w:p w14:paraId="70D3203F" w14:textId="21A1C528" w:rsidR="00E079C7" w:rsidRPr="00656794" w:rsidRDefault="0078464F" w:rsidP="00E079C7">
            <w:pPr>
              <w:spacing w:after="0" w:line="240" w:lineRule="auto"/>
              <w:jc w:val="center"/>
              <w:rPr>
                <w:rFonts w:ascii="Times New Roman" w:eastAsia="Times New Roman" w:hAnsi="Times New Roman" w:cs="Times New Roman"/>
                <w:color w:val="000000" w:themeColor="text1"/>
                <w:sz w:val="24"/>
                <w:szCs w:val="24"/>
                <w:lang w:val="it-IT" w:eastAsia="en-IE"/>
              </w:rPr>
            </w:pPr>
            <w:r w:rsidRPr="00656794">
              <w:rPr>
                <w:rFonts w:ascii="Arial" w:eastAsia="Times New Roman" w:hAnsi="Arial" w:cs="Arial"/>
                <w:b/>
                <w:bCs/>
                <w:color w:val="000000" w:themeColor="text1"/>
                <w:sz w:val="18"/>
                <w:szCs w:val="18"/>
                <w:shd w:val="clear" w:color="auto" w:fill="CCCCCC"/>
                <w:lang w:val="it-IT" w:eastAsia="en-IE"/>
              </w:rPr>
              <w:t>Trasferimento</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025A717F" w14:textId="77777777" w:rsidR="0078464F" w:rsidRPr="00656794" w:rsidRDefault="0078464F" w:rsidP="0078464F">
            <w:pPr>
              <w:spacing w:after="0" w:line="240" w:lineRule="auto"/>
              <w:jc w:val="center"/>
              <w:rPr>
                <w:rFonts w:ascii="Arial" w:eastAsia="Times New Roman" w:hAnsi="Arial" w:cs="Arial"/>
                <w:b/>
                <w:bCs/>
                <w:color w:val="000000" w:themeColor="text1"/>
                <w:sz w:val="18"/>
                <w:szCs w:val="18"/>
                <w:shd w:val="clear" w:color="auto" w:fill="CCCCCC"/>
                <w:lang w:val="it-IT" w:eastAsia="en-IE"/>
              </w:rPr>
            </w:pPr>
            <w:r w:rsidRPr="00656794">
              <w:rPr>
                <w:rFonts w:ascii="Arial" w:eastAsia="Times New Roman" w:hAnsi="Arial" w:cs="Arial"/>
                <w:b/>
                <w:bCs/>
                <w:color w:val="000000" w:themeColor="text1"/>
                <w:sz w:val="18"/>
                <w:szCs w:val="18"/>
                <w:shd w:val="clear" w:color="auto" w:fill="CCCCCC"/>
                <w:lang w:val="it-IT" w:eastAsia="en-IE"/>
              </w:rPr>
              <w:t>Pre</w:t>
            </w:r>
          </w:p>
          <w:p w14:paraId="1A2AFF12" w14:textId="62C0D6FF" w:rsidR="00E079C7" w:rsidRPr="00656794" w:rsidRDefault="0078464F" w:rsidP="0078464F">
            <w:pPr>
              <w:spacing w:after="0" w:line="240" w:lineRule="auto"/>
              <w:jc w:val="center"/>
              <w:rPr>
                <w:rFonts w:ascii="Times New Roman" w:eastAsia="Times New Roman" w:hAnsi="Times New Roman" w:cs="Times New Roman"/>
                <w:color w:val="000000" w:themeColor="text1"/>
                <w:sz w:val="24"/>
                <w:szCs w:val="24"/>
                <w:lang w:val="it-IT" w:eastAsia="en-IE"/>
              </w:rPr>
            </w:pPr>
            <w:r w:rsidRPr="00656794">
              <w:rPr>
                <w:rFonts w:ascii="Arial" w:eastAsia="Times New Roman" w:hAnsi="Arial" w:cs="Arial"/>
                <w:b/>
                <w:bCs/>
                <w:color w:val="000000" w:themeColor="text1"/>
                <w:sz w:val="18"/>
                <w:szCs w:val="18"/>
                <w:shd w:val="clear" w:color="auto" w:fill="CCCCCC"/>
                <w:lang w:val="it-IT" w:eastAsia="en-IE"/>
              </w:rPr>
              <w:t>Trasferimento</w:t>
            </w:r>
          </w:p>
        </w:tc>
        <w:tc>
          <w:tcPr>
            <w:tcW w:w="190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7E8826AF" w14:textId="77777777" w:rsidR="00E079C7" w:rsidRPr="00656794" w:rsidRDefault="00E079C7" w:rsidP="00E079C7">
            <w:pPr>
              <w:spacing w:after="0" w:line="240" w:lineRule="auto"/>
              <w:jc w:val="center"/>
              <w:rPr>
                <w:rFonts w:ascii="Times New Roman" w:eastAsia="Times New Roman" w:hAnsi="Times New Roman" w:cs="Times New Roman"/>
                <w:color w:val="000000" w:themeColor="text1"/>
                <w:sz w:val="24"/>
                <w:szCs w:val="24"/>
                <w:lang w:val="it-IT" w:eastAsia="en-IE"/>
              </w:rPr>
            </w:pPr>
            <w:r w:rsidRPr="00656794">
              <w:rPr>
                <w:rFonts w:ascii="Arial" w:eastAsia="Times New Roman" w:hAnsi="Arial" w:cs="Arial"/>
                <w:b/>
                <w:bCs/>
                <w:color w:val="000000" w:themeColor="text1"/>
                <w:sz w:val="18"/>
                <w:szCs w:val="18"/>
                <w:shd w:val="clear" w:color="auto" w:fill="CCCCCC"/>
                <w:lang w:val="it-IT" w:eastAsia="en-IE"/>
              </w:rPr>
              <w:t>Post </w:t>
            </w:r>
          </w:p>
          <w:p w14:paraId="4840FCE9" w14:textId="0BA99385" w:rsidR="00E079C7" w:rsidRPr="00656794" w:rsidRDefault="0078464F" w:rsidP="00E079C7">
            <w:pPr>
              <w:spacing w:after="0" w:line="240" w:lineRule="auto"/>
              <w:jc w:val="center"/>
              <w:rPr>
                <w:rFonts w:ascii="Times New Roman" w:eastAsia="Times New Roman" w:hAnsi="Times New Roman" w:cs="Times New Roman"/>
                <w:color w:val="000000" w:themeColor="text1"/>
                <w:sz w:val="24"/>
                <w:szCs w:val="24"/>
                <w:lang w:val="it-IT" w:eastAsia="en-IE"/>
              </w:rPr>
            </w:pPr>
            <w:r w:rsidRPr="00656794">
              <w:rPr>
                <w:rFonts w:ascii="Arial" w:eastAsia="Times New Roman" w:hAnsi="Arial" w:cs="Arial"/>
                <w:b/>
                <w:bCs/>
                <w:color w:val="000000" w:themeColor="text1"/>
                <w:sz w:val="18"/>
                <w:szCs w:val="18"/>
                <w:shd w:val="clear" w:color="auto" w:fill="CCCCCC"/>
                <w:lang w:val="it-IT" w:eastAsia="en-IE"/>
              </w:rPr>
              <w:t>Trasferimento</w:t>
            </w:r>
          </w:p>
        </w:tc>
      </w:tr>
      <w:tr w:rsidR="00E079C7" w:rsidRPr="00656794" w14:paraId="6105FCB5" w14:textId="77777777" w:rsidTr="00CD32BD">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E58B7" w14:textId="77777777" w:rsidR="00E079C7" w:rsidRPr="00656794" w:rsidRDefault="00E079C7" w:rsidP="00E079C7">
            <w:pPr>
              <w:spacing w:after="0" w:line="240" w:lineRule="auto"/>
              <w:rPr>
                <w:rFonts w:ascii="Times New Roman" w:eastAsia="Times New Roman" w:hAnsi="Times New Roman" w:cs="Times New Roman"/>
                <w:sz w:val="24"/>
                <w:szCs w:val="24"/>
                <w:lang w:val="it-IT" w:eastAsia="en-IE"/>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E40DE" w14:textId="2434536F" w:rsidR="00E079C7" w:rsidRPr="00656794" w:rsidRDefault="00E079C7" w:rsidP="00E079C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31</w:t>
            </w:r>
            <w:r w:rsidR="0078464F" w:rsidRPr="00656794">
              <w:rPr>
                <w:rFonts w:ascii="Arial" w:eastAsia="Times New Roman" w:hAnsi="Arial" w:cs="Arial"/>
                <w:b/>
                <w:bCs/>
                <w:color w:val="000000"/>
                <w:sz w:val="18"/>
                <w:szCs w:val="18"/>
                <w:shd w:val="clear" w:color="auto" w:fill="FFFFFF"/>
                <w:lang w:val="it-IT" w:eastAsia="en-IE"/>
              </w:rPr>
              <w:t xml:space="preserve"> dicembre</w:t>
            </w:r>
            <w:r w:rsidRPr="00656794">
              <w:rPr>
                <w:rFonts w:ascii="Arial" w:eastAsia="Times New Roman" w:hAnsi="Arial" w:cs="Arial"/>
                <w:b/>
                <w:bCs/>
                <w:color w:val="000000"/>
                <w:sz w:val="18"/>
                <w:szCs w:val="18"/>
                <w:shd w:val="clear" w:color="auto" w:fill="FFFFFF"/>
                <w:lang w:val="it-IT" w:eastAsia="en-IE"/>
              </w:rPr>
              <w:t xml:space="preserve"> 2020 </w:t>
            </w:r>
          </w:p>
        </w:tc>
        <w:tc>
          <w:tcPr>
            <w:tcW w:w="33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B6B74" w14:textId="7A89663A" w:rsidR="00E079C7" w:rsidRPr="00656794" w:rsidRDefault="00E079C7" w:rsidP="00E079C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 xml:space="preserve">30 </w:t>
            </w:r>
            <w:r w:rsidR="0078464F" w:rsidRPr="00656794">
              <w:rPr>
                <w:rFonts w:ascii="Arial" w:eastAsia="Times New Roman" w:hAnsi="Arial" w:cs="Arial"/>
                <w:b/>
                <w:bCs/>
                <w:color w:val="000000"/>
                <w:sz w:val="18"/>
                <w:szCs w:val="18"/>
                <w:shd w:val="clear" w:color="auto" w:fill="FFFFFF"/>
                <w:lang w:val="it-IT" w:eastAsia="en-IE"/>
              </w:rPr>
              <w:t>giugno</w:t>
            </w:r>
            <w:r w:rsidRPr="00656794">
              <w:rPr>
                <w:rFonts w:ascii="Arial" w:eastAsia="Times New Roman" w:hAnsi="Arial" w:cs="Arial"/>
                <w:b/>
                <w:bCs/>
                <w:color w:val="000000"/>
                <w:sz w:val="18"/>
                <w:szCs w:val="18"/>
                <w:shd w:val="clear" w:color="auto" w:fill="FFFFFF"/>
                <w:lang w:val="it-IT" w:eastAsia="en-IE"/>
              </w:rPr>
              <w:t xml:space="preserve"> 2021</w:t>
            </w:r>
          </w:p>
        </w:tc>
      </w:tr>
      <w:tr w:rsidR="0078464F" w:rsidRPr="00656794" w14:paraId="66FF5C5B" w14:textId="77777777" w:rsidTr="00CD32BD">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C951B" w14:textId="3C0835F7" w:rsidR="0078464F" w:rsidRPr="00656794" w:rsidRDefault="0078464F" w:rsidP="0078464F">
            <w:pPr>
              <w:spacing w:after="0" w:line="240" w:lineRule="auto"/>
              <w:ind w:left="121"/>
              <w:rPr>
                <w:rFonts w:ascii="Arial" w:eastAsia="Times New Roman" w:hAnsi="Arial" w:cs="Arial"/>
                <w:b/>
                <w:bCs/>
                <w:sz w:val="20"/>
                <w:szCs w:val="20"/>
                <w:lang w:val="it-IT" w:eastAsia="en-IE"/>
              </w:rPr>
            </w:pPr>
            <w:r w:rsidRPr="00656794">
              <w:rPr>
                <w:rFonts w:ascii="Arial" w:hAnsi="Arial" w:cs="Arial"/>
                <w:b/>
                <w:bCs/>
                <w:sz w:val="20"/>
                <w:szCs w:val="20"/>
                <w:lang w:val="it-IT"/>
              </w:rPr>
              <w:t>Fondi propri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0EF20" w14:textId="69625E47"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851,1 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24896" w14:textId="288DE784"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851,1 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7718B" w14:textId="2991F9EE"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866,0 </w:t>
            </w:r>
          </w:p>
        </w:tc>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BAD2C" w14:textId="0A7805EC"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866,0</w:t>
            </w:r>
          </w:p>
        </w:tc>
      </w:tr>
      <w:tr w:rsidR="0078464F" w:rsidRPr="00656794" w14:paraId="62D017CA" w14:textId="77777777" w:rsidTr="00CD32BD">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6F422" w14:textId="1DC64E0D" w:rsidR="0078464F" w:rsidRPr="00656794" w:rsidRDefault="0078464F" w:rsidP="0078464F">
            <w:pPr>
              <w:spacing w:after="0" w:line="240" w:lineRule="auto"/>
              <w:ind w:left="121"/>
              <w:rPr>
                <w:rFonts w:ascii="Arial" w:eastAsia="Times New Roman" w:hAnsi="Arial" w:cs="Arial"/>
                <w:sz w:val="20"/>
                <w:szCs w:val="20"/>
                <w:lang w:val="it-IT" w:eastAsia="en-IE"/>
              </w:rPr>
            </w:pPr>
            <w:r w:rsidRPr="00656794">
              <w:rPr>
                <w:rFonts w:ascii="Arial" w:hAnsi="Arial" w:cs="Arial"/>
                <w:sz w:val="20"/>
                <w:szCs w:val="20"/>
                <w:lang w:val="it-IT"/>
              </w:rPr>
              <w:t>SCR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0BDD3" w14:textId="70D458E4"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649,6 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F430F" w14:textId="11DFB8C4"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653,6 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C7696" w14:textId="5C0FEFAE"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716,4 </w:t>
            </w:r>
          </w:p>
        </w:tc>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E0DB1" w14:textId="2E2EB595"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719,1</w:t>
            </w:r>
          </w:p>
        </w:tc>
      </w:tr>
      <w:tr w:rsidR="0078464F" w:rsidRPr="00656794" w14:paraId="7ED139FA" w14:textId="77777777" w:rsidTr="00CD32BD">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D8E13" w14:textId="1A6D32FF" w:rsidR="0078464F" w:rsidRPr="00656794" w:rsidRDefault="0078464F" w:rsidP="0078464F">
            <w:pPr>
              <w:spacing w:after="0" w:line="240" w:lineRule="auto"/>
              <w:ind w:left="127"/>
              <w:rPr>
                <w:rFonts w:ascii="Arial" w:eastAsia="Times New Roman" w:hAnsi="Arial" w:cs="Arial"/>
                <w:sz w:val="20"/>
                <w:szCs w:val="20"/>
                <w:lang w:val="it-IT" w:eastAsia="en-IE"/>
              </w:rPr>
            </w:pPr>
            <w:r w:rsidRPr="00656794">
              <w:rPr>
                <w:rFonts w:ascii="Arial" w:hAnsi="Arial" w:cs="Arial"/>
                <w:sz w:val="20"/>
                <w:szCs w:val="20"/>
                <w:lang w:val="it-IT"/>
              </w:rPr>
              <w:t>Fondi propri in eccesso rispetto a SCR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06C1C" w14:textId="34EFE0B4"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201,5 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035A8" w14:textId="116F7B5D"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197,5 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72C73" w14:textId="4A7793BE"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149,6 </w:t>
            </w:r>
          </w:p>
        </w:tc>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0F704" w14:textId="76AA0C25"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146,9</w:t>
            </w:r>
          </w:p>
        </w:tc>
      </w:tr>
      <w:tr w:rsidR="0078464F" w:rsidRPr="00656794" w14:paraId="62BE2446" w14:textId="77777777" w:rsidTr="00CD32BD">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A30BE" w14:textId="3B6D5A9B" w:rsidR="0078464F" w:rsidRPr="00656794" w:rsidRDefault="0078464F" w:rsidP="0078464F">
            <w:pPr>
              <w:spacing w:after="0" w:line="240" w:lineRule="auto"/>
              <w:ind w:left="119"/>
              <w:rPr>
                <w:rFonts w:ascii="Arial" w:eastAsia="Times New Roman" w:hAnsi="Arial" w:cs="Arial"/>
                <w:b/>
                <w:bCs/>
                <w:sz w:val="20"/>
                <w:szCs w:val="20"/>
                <w:lang w:val="it-IT" w:eastAsia="en-IE"/>
              </w:rPr>
            </w:pPr>
            <w:r w:rsidRPr="00656794">
              <w:rPr>
                <w:rFonts w:ascii="Arial" w:hAnsi="Arial" w:cs="Arial"/>
                <w:b/>
                <w:bCs/>
                <w:sz w:val="20"/>
                <w:szCs w:val="20"/>
                <w:lang w:val="it-IT"/>
              </w:rPr>
              <w:t>Rapporto di copertura della solvibilità</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CCBDB" w14:textId="77777777"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lang w:val="it-IT" w:eastAsia="en-IE"/>
              </w:rPr>
              <w:t>131%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55A70" w14:textId="77777777"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B5846" w14:textId="77777777"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121% </w:t>
            </w:r>
          </w:p>
        </w:tc>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64A54" w14:textId="77777777"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120%</w:t>
            </w:r>
          </w:p>
        </w:tc>
      </w:tr>
    </w:tbl>
    <w:p w14:paraId="2DCD0291" w14:textId="6C23B55D" w:rsidR="00E079C7" w:rsidRPr="00656794" w:rsidRDefault="00632D24" w:rsidP="00874B9E">
      <w:pPr>
        <w:spacing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2"/>
          <w:szCs w:val="12"/>
          <w:lang w:val="it-IT" w:eastAsia="en-IE"/>
        </w:rPr>
        <w:t>Fonte: analisi ZLAP</w:t>
      </w:r>
    </w:p>
    <w:tbl>
      <w:tblPr>
        <w:tblW w:w="9062" w:type="dxa"/>
        <w:tblCellMar>
          <w:top w:w="15" w:type="dxa"/>
          <w:left w:w="15" w:type="dxa"/>
          <w:bottom w:w="15" w:type="dxa"/>
          <w:right w:w="15" w:type="dxa"/>
        </w:tblCellMar>
        <w:tblLook w:val="04A0" w:firstRow="1" w:lastRow="0" w:firstColumn="1" w:lastColumn="0" w:noHBand="0" w:noVBand="1"/>
      </w:tblPr>
      <w:tblGrid>
        <w:gridCol w:w="2912"/>
        <w:gridCol w:w="1401"/>
        <w:gridCol w:w="1401"/>
        <w:gridCol w:w="1546"/>
        <w:gridCol w:w="1802"/>
      </w:tblGrid>
      <w:tr w:rsidR="00E079C7" w:rsidRPr="00B84464" w14:paraId="6552C40E" w14:textId="77777777" w:rsidTr="00CD32BD">
        <w:trPr>
          <w:trHeight w:val="295"/>
        </w:trPr>
        <w:tc>
          <w:tcPr>
            <w:tcW w:w="9062" w:type="dxa"/>
            <w:gridSpan w:val="5"/>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2CE842AD" w14:textId="3AE27FE8" w:rsidR="00E079C7" w:rsidRPr="00656794" w:rsidRDefault="0078464F" w:rsidP="00E079C7">
            <w:pPr>
              <w:spacing w:after="0" w:line="240" w:lineRule="auto"/>
              <w:ind w:left="117"/>
              <w:rPr>
                <w:rFonts w:ascii="Arial" w:eastAsia="Times New Roman" w:hAnsi="Arial" w:cs="Arial"/>
                <w:color w:val="000000" w:themeColor="text1"/>
                <w:sz w:val="24"/>
                <w:szCs w:val="24"/>
                <w:lang w:val="it-IT" w:eastAsia="en-IE"/>
              </w:rPr>
            </w:pPr>
            <w:r w:rsidRPr="00656794">
              <w:rPr>
                <w:rFonts w:ascii="Arial" w:eastAsia="Times New Roman" w:hAnsi="Arial" w:cs="Arial"/>
                <w:b/>
                <w:bCs/>
                <w:color w:val="FFFFFF" w:themeColor="background1"/>
                <w:sz w:val="18"/>
                <w:szCs w:val="18"/>
                <w:lang w:val="it-IT" w:eastAsia="en-IE"/>
              </w:rPr>
              <w:t xml:space="preserve">Tabella 2.2: ZIL </w:t>
            </w:r>
            <w:r w:rsidR="00AF390E" w:rsidRPr="00656794">
              <w:rPr>
                <w:rFonts w:ascii="Arial" w:eastAsia="Times New Roman" w:hAnsi="Arial" w:cs="Arial"/>
                <w:b/>
                <w:bCs/>
                <w:color w:val="FFFFFF" w:themeColor="background1"/>
                <w:sz w:val="18"/>
                <w:szCs w:val="18"/>
                <w:lang w:val="it-IT" w:eastAsia="en-IE"/>
              </w:rPr>
              <w:t>Proforma</w:t>
            </w:r>
            <w:r w:rsidRPr="00656794">
              <w:rPr>
                <w:rFonts w:ascii="Arial" w:eastAsia="Times New Roman" w:hAnsi="Arial" w:cs="Arial"/>
                <w:b/>
                <w:bCs/>
                <w:color w:val="FFFFFF" w:themeColor="background1"/>
                <w:sz w:val="18"/>
                <w:szCs w:val="18"/>
                <w:lang w:val="it-IT" w:eastAsia="en-IE"/>
              </w:rPr>
              <w:t xml:space="preserve"> Solvency Position al 31 dicembre 2020 e 30 giugno 2021 - €m</w:t>
            </w:r>
          </w:p>
        </w:tc>
      </w:tr>
      <w:tr w:rsidR="00632D24" w:rsidRPr="00656794" w14:paraId="1502084E" w14:textId="77777777" w:rsidTr="00CD32BD">
        <w:trPr>
          <w:trHeight w:val="424"/>
        </w:trPr>
        <w:tc>
          <w:tcPr>
            <w:tcW w:w="2912"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33384BCA" w14:textId="65724A0F" w:rsidR="0078464F" w:rsidRPr="00656794" w:rsidRDefault="0078464F" w:rsidP="0078464F">
            <w:pPr>
              <w:spacing w:after="0" w:line="240" w:lineRule="auto"/>
              <w:ind w:left="121"/>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C0C0C0"/>
                <w:lang w:val="it-IT" w:eastAsia="en-IE"/>
              </w:rPr>
              <w:t>Componenti </w:t>
            </w:r>
          </w:p>
        </w:tc>
        <w:tc>
          <w:tcPr>
            <w:tcW w:w="140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C788221" w14:textId="77777777" w:rsidR="0078464F" w:rsidRPr="00656794" w:rsidRDefault="0078464F" w:rsidP="0078464F">
            <w:pPr>
              <w:spacing w:after="0" w:line="240" w:lineRule="auto"/>
              <w:jc w:val="center"/>
              <w:rPr>
                <w:rFonts w:ascii="Arial" w:eastAsia="Times New Roman" w:hAnsi="Arial" w:cs="Arial"/>
                <w:b/>
                <w:bCs/>
                <w:color w:val="000000" w:themeColor="text1"/>
                <w:sz w:val="18"/>
                <w:szCs w:val="18"/>
                <w:shd w:val="clear" w:color="auto" w:fill="CCCCCC"/>
                <w:lang w:val="it-IT" w:eastAsia="en-IE"/>
              </w:rPr>
            </w:pPr>
            <w:r w:rsidRPr="00656794">
              <w:rPr>
                <w:rFonts w:ascii="Arial" w:eastAsia="Times New Roman" w:hAnsi="Arial" w:cs="Arial"/>
                <w:b/>
                <w:bCs/>
                <w:color w:val="000000" w:themeColor="text1"/>
                <w:sz w:val="18"/>
                <w:szCs w:val="18"/>
                <w:shd w:val="clear" w:color="auto" w:fill="CCCCCC"/>
                <w:lang w:val="it-IT" w:eastAsia="en-IE"/>
              </w:rPr>
              <w:t>Pre</w:t>
            </w:r>
          </w:p>
          <w:p w14:paraId="1CCE982A" w14:textId="5624DA11"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themeColor="text1"/>
                <w:sz w:val="18"/>
                <w:szCs w:val="18"/>
                <w:shd w:val="clear" w:color="auto" w:fill="CCCCCC"/>
                <w:lang w:val="it-IT" w:eastAsia="en-IE"/>
              </w:rPr>
              <w:t>Trasferimento</w:t>
            </w:r>
          </w:p>
        </w:tc>
        <w:tc>
          <w:tcPr>
            <w:tcW w:w="140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3ABE142E" w14:textId="77777777" w:rsidR="0078464F" w:rsidRPr="00656794" w:rsidRDefault="0078464F" w:rsidP="0078464F">
            <w:pPr>
              <w:spacing w:after="0" w:line="240" w:lineRule="auto"/>
              <w:jc w:val="center"/>
              <w:rPr>
                <w:rFonts w:ascii="Times New Roman" w:eastAsia="Times New Roman" w:hAnsi="Times New Roman" w:cs="Times New Roman"/>
                <w:color w:val="000000" w:themeColor="text1"/>
                <w:sz w:val="24"/>
                <w:szCs w:val="24"/>
                <w:lang w:val="it-IT" w:eastAsia="en-IE"/>
              </w:rPr>
            </w:pPr>
            <w:r w:rsidRPr="00656794">
              <w:rPr>
                <w:rFonts w:ascii="Arial" w:eastAsia="Times New Roman" w:hAnsi="Arial" w:cs="Arial"/>
                <w:b/>
                <w:bCs/>
                <w:color w:val="000000" w:themeColor="text1"/>
                <w:sz w:val="18"/>
                <w:szCs w:val="18"/>
                <w:shd w:val="clear" w:color="auto" w:fill="CCCCCC"/>
                <w:lang w:val="it-IT" w:eastAsia="en-IE"/>
              </w:rPr>
              <w:t>Post </w:t>
            </w:r>
          </w:p>
          <w:p w14:paraId="52135ABB" w14:textId="29190254"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themeColor="text1"/>
                <w:sz w:val="18"/>
                <w:szCs w:val="18"/>
                <w:shd w:val="clear" w:color="auto" w:fill="CCCCCC"/>
                <w:lang w:val="it-IT" w:eastAsia="en-IE"/>
              </w:rPr>
              <w:t>Trasferimento</w:t>
            </w:r>
          </w:p>
        </w:tc>
        <w:tc>
          <w:tcPr>
            <w:tcW w:w="15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6EB968E8" w14:textId="77777777" w:rsidR="0078464F" w:rsidRPr="00656794" w:rsidRDefault="0078464F" w:rsidP="0078464F">
            <w:pPr>
              <w:spacing w:after="0" w:line="240" w:lineRule="auto"/>
              <w:jc w:val="center"/>
              <w:rPr>
                <w:rFonts w:ascii="Arial" w:eastAsia="Times New Roman" w:hAnsi="Arial" w:cs="Arial"/>
                <w:b/>
                <w:bCs/>
                <w:color w:val="000000" w:themeColor="text1"/>
                <w:sz w:val="18"/>
                <w:szCs w:val="18"/>
                <w:shd w:val="clear" w:color="auto" w:fill="CCCCCC"/>
                <w:lang w:val="it-IT" w:eastAsia="en-IE"/>
              </w:rPr>
            </w:pPr>
            <w:r w:rsidRPr="00656794">
              <w:rPr>
                <w:rFonts w:ascii="Arial" w:eastAsia="Times New Roman" w:hAnsi="Arial" w:cs="Arial"/>
                <w:b/>
                <w:bCs/>
                <w:color w:val="000000" w:themeColor="text1"/>
                <w:sz w:val="18"/>
                <w:szCs w:val="18"/>
                <w:shd w:val="clear" w:color="auto" w:fill="CCCCCC"/>
                <w:lang w:val="it-IT" w:eastAsia="en-IE"/>
              </w:rPr>
              <w:t>Pre</w:t>
            </w:r>
          </w:p>
          <w:p w14:paraId="6CF1B161" w14:textId="59FA7FBF"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themeColor="text1"/>
                <w:sz w:val="18"/>
                <w:szCs w:val="18"/>
                <w:shd w:val="clear" w:color="auto" w:fill="CCCCCC"/>
                <w:lang w:val="it-IT" w:eastAsia="en-IE"/>
              </w:rPr>
              <w:t>Trasferimento</w:t>
            </w:r>
          </w:p>
        </w:tc>
        <w:tc>
          <w:tcPr>
            <w:tcW w:w="1802"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7708F4B0" w14:textId="77777777" w:rsidR="0078464F" w:rsidRPr="00656794" w:rsidRDefault="0078464F" w:rsidP="0078464F">
            <w:pPr>
              <w:spacing w:after="0" w:line="240" w:lineRule="auto"/>
              <w:jc w:val="center"/>
              <w:rPr>
                <w:rFonts w:ascii="Times New Roman" w:eastAsia="Times New Roman" w:hAnsi="Times New Roman" w:cs="Times New Roman"/>
                <w:color w:val="000000" w:themeColor="text1"/>
                <w:sz w:val="24"/>
                <w:szCs w:val="24"/>
                <w:lang w:val="it-IT" w:eastAsia="en-IE"/>
              </w:rPr>
            </w:pPr>
            <w:r w:rsidRPr="00656794">
              <w:rPr>
                <w:rFonts w:ascii="Arial" w:eastAsia="Times New Roman" w:hAnsi="Arial" w:cs="Arial"/>
                <w:b/>
                <w:bCs/>
                <w:color w:val="000000" w:themeColor="text1"/>
                <w:sz w:val="18"/>
                <w:szCs w:val="18"/>
                <w:shd w:val="clear" w:color="auto" w:fill="CCCCCC"/>
                <w:lang w:val="it-IT" w:eastAsia="en-IE"/>
              </w:rPr>
              <w:t>Post </w:t>
            </w:r>
          </w:p>
          <w:p w14:paraId="1321DC03" w14:textId="2DA00172"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themeColor="text1"/>
                <w:sz w:val="18"/>
                <w:szCs w:val="18"/>
                <w:shd w:val="clear" w:color="auto" w:fill="CCCCCC"/>
                <w:lang w:val="it-IT" w:eastAsia="en-IE"/>
              </w:rPr>
              <w:t>Trasferimento</w:t>
            </w:r>
          </w:p>
        </w:tc>
      </w:tr>
      <w:tr w:rsidR="0078464F" w:rsidRPr="00656794" w14:paraId="430A8C86" w14:textId="77777777" w:rsidTr="00CD32BD">
        <w:trPr>
          <w:trHeight w:val="300"/>
        </w:trPr>
        <w:tc>
          <w:tcPr>
            <w:tcW w:w="2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54812" w14:textId="77777777" w:rsidR="0078464F" w:rsidRPr="00656794" w:rsidRDefault="0078464F" w:rsidP="0078464F">
            <w:pPr>
              <w:spacing w:after="0" w:line="240" w:lineRule="auto"/>
              <w:rPr>
                <w:rFonts w:ascii="Times New Roman" w:eastAsia="Times New Roman" w:hAnsi="Times New Roman" w:cs="Times New Roman"/>
                <w:sz w:val="24"/>
                <w:szCs w:val="24"/>
                <w:lang w:val="it-IT" w:eastAsia="en-IE"/>
              </w:rPr>
            </w:pPr>
          </w:p>
        </w:tc>
        <w:tc>
          <w:tcPr>
            <w:tcW w:w="280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A82B4" w14:textId="4D9C3598"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31 dicembre 2020 </w:t>
            </w:r>
          </w:p>
        </w:tc>
        <w:tc>
          <w:tcPr>
            <w:tcW w:w="334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4F4A7" w14:textId="0E0F123D"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30 giugno 2021</w:t>
            </w:r>
          </w:p>
        </w:tc>
      </w:tr>
      <w:tr w:rsidR="0078464F" w:rsidRPr="00656794" w14:paraId="24B9E978" w14:textId="77777777" w:rsidTr="00CD32BD">
        <w:trPr>
          <w:trHeight w:val="300"/>
        </w:trPr>
        <w:tc>
          <w:tcPr>
            <w:tcW w:w="2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DD310" w14:textId="7664C743" w:rsidR="0078464F" w:rsidRPr="00656794" w:rsidRDefault="0078464F" w:rsidP="0078464F">
            <w:pPr>
              <w:spacing w:after="0" w:line="240" w:lineRule="auto"/>
              <w:ind w:left="121"/>
              <w:rPr>
                <w:rFonts w:ascii="Times New Roman" w:eastAsia="Times New Roman" w:hAnsi="Times New Roman" w:cs="Times New Roman"/>
                <w:sz w:val="24"/>
                <w:szCs w:val="24"/>
                <w:lang w:val="it-IT" w:eastAsia="en-IE"/>
              </w:rPr>
            </w:pPr>
            <w:r w:rsidRPr="00656794">
              <w:rPr>
                <w:rFonts w:ascii="Arial" w:hAnsi="Arial" w:cs="Arial"/>
                <w:b/>
                <w:bCs/>
                <w:sz w:val="20"/>
                <w:szCs w:val="20"/>
                <w:lang w:val="it-IT"/>
              </w:rPr>
              <w:t>Fondi propri</w:t>
            </w:r>
          </w:p>
        </w:tc>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6D33F" w14:textId="48519C4D"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752,1 </w:t>
            </w:r>
          </w:p>
        </w:tc>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2E7D7" w14:textId="678AEBAE"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804,1 </w:t>
            </w:r>
          </w:p>
        </w:tc>
        <w:tc>
          <w:tcPr>
            <w:tcW w:w="1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4CF50" w14:textId="3F76EB30"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854,9 </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21058" w14:textId="5159E249"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894,2</w:t>
            </w:r>
          </w:p>
        </w:tc>
      </w:tr>
      <w:tr w:rsidR="0078464F" w:rsidRPr="00656794" w14:paraId="49B3C7A2" w14:textId="77777777" w:rsidTr="00CD32BD">
        <w:trPr>
          <w:trHeight w:val="300"/>
        </w:trPr>
        <w:tc>
          <w:tcPr>
            <w:tcW w:w="2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E70D8" w14:textId="32B9EAA9" w:rsidR="0078464F" w:rsidRPr="00656794" w:rsidRDefault="0078464F" w:rsidP="0078464F">
            <w:pPr>
              <w:spacing w:after="0" w:line="240" w:lineRule="auto"/>
              <w:ind w:left="121"/>
              <w:rPr>
                <w:rFonts w:ascii="Times New Roman" w:eastAsia="Times New Roman" w:hAnsi="Times New Roman" w:cs="Times New Roman"/>
                <w:sz w:val="24"/>
                <w:szCs w:val="24"/>
                <w:lang w:val="it-IT" w:eastAsia="en-IE"/>
              </w:rPr>
            </w:pPr>
            <w:r w:rsidRPr="00656794">
              <w:rPr>
                <w:rFonts w:ascii="Arial" w:hAnsi="Arial" w:cs="Arial"/>
                <w:b/>
                <w:bCs/>
                <w:sz w:val="20"/>
                <w:szCs w:val="20"/>
                <w:lang w:val="it-IT"/>
              </w:rPr>
              <w:t>SCR</w:t>
            </w:r>
          </w:p>
        </w:tc>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BD68C" w14:textId="7E1BEEAE"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424,7 </w:t>
            </w:r>
          </w:p>
        </w:tc>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2AF06" w14:textId="732B5B46"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446,7 </w:t>
            </w:r>
          </w:p>
        </w:tc>
        <w:tc>
          <w:tcPr>
            <w:tcW w:w="1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13DE3" w14:textId="61014A67"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437,5 </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01CF6" w14:textId="54D3E755"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454,4</w:t>
            </w:r>
          </w:p>
        </w:tc>
      </w:tr>
      <w:tr w:rsidR="0078464F" w:rsidRPr="00656794" w14:paraId="5FB40F94" w14:textId="77777777" w:rsidTr="00CD32BD">
        <w:trPr>
          <w:trHeight w:val="300"/>
        </w:trPr>
        <w:tc>
          <w:tcPr>
            <w:tcW w:w="2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E6985" w14:textId="4DB909D7" w:rsidR="0078464F" w:rsidRPr="00656794" w:rsidRDefault="0078464F" w:rsidP="0078464F">
            <w:pPr>
              <w:spacing w:after="0" w:line="240" w:lineRule="auto"/>
              <w:ind w:left="121"/>
              <w:rPr>
                <w:rFonts w:ascii="Times New Roman" w:eastAsia="Times New Roman" w:hAnsi="Times New Roman" w:cs="Times New Roman"/>
                <w:sz w:val="24"/>
                <w:szCs w:val="24"/>
                <w:lang w:val="it-IT" w:eastAsia="en-IE"/>
              </w:rPr>
            </w:pPr>
            <w:r w:rsidRPr="00656794">
              <w:rPr>
                <w:rFonts w:ascii="Arial" w:hAnsi="Arial" w:cs="Arial"/>
                <w:b/>
                <w:bCs/>
                <w:sz w:val="20"/>
                <w:szCs w:val="20"/>
                <w:lang w:val="it-IT"/>
              </w:rPr>
              <w:t>Fondi propri in eccesso rispetto a SCR</w:t>
            </w:r>
          </w:p>
        </w:tc>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2DABA" w14:textId="5D66F582"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327,4 </w:t>
            </w:r>
          </w:p>
        </w:tc>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DC904" w14:textId="445DCA0C"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357,4 </w:t>
            </w:r>
          </w:p>
        </w:tc>
        <w:tc>
          <w:tcPr>
            <w:tcW w:w="1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5882E" w14:textId="7BA46B77"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417,4 </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60B81" w14:textId="27C26BF3" w:rsidR="0078464F" w:rsidRPr="00656794" w:rsidRDefault="0078464F" w:rsidP="0078464F">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439,8</w:t>
            </w:r>
            <w:r w:rsidRPr="00656794">
              <w:rPr>
                <w:rFonts w:ascii="Arial" w:eastAsia="Times New Roman" w:hAnsi="Arial" w:cs="Arial"/>
                <w:color w:val="000000"/>
                <w:sz w:val="18"/>
                <w:szCs w:val="18"/>
                <w:lang w:val="it-IT" w:eastAsia="en-IE"/>
              </w:rPr>
              <w:t> </w:t>
            </w:r>
          </w:p>
        </w:tc>
      </w:tr>
      <w:tr w:rsidR="00CD32BD" w:rsidRPr="00656794" w14:paraId="090A7B6D" w14:textId="77777777" w:rsidTr="00CD32BD">
        <w:trPr>
          <w:trHeight w:val="300"/>
        </w:trPr>
        <w:tc>
          <w:tcPr>
            <w:tcW w:w="2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90EEB" w14:textId="5ECEF16E" w:rsidR="00CD32BD" w:rsidRPr="00656794" w:rsidRDefault="00CD32BD" w:rsidP="00CD32BD">
            <w:pPr>
              <w:spacing w:after="0" w:line="240" w:lineRule="auto"/>
              <w:ind w:left="121"/>
              <w:rPr>
                <w:rFonts w:ascii="Arial" w:hAnsi="Arial" w:cs="Arial"/>
                <w:b/>
                <w:bCs/>
                <w:sz w:val="20"/>
                <w:szCs w:val="20"/>
                <w:lang w:val="it-IT"/>
              </w:rPr>
            </w:pPr>
            <w:r w:rsidRPr="00656794">
              <w:rPr>
                <w:rFonts w:ascii="Arial" w:hAnsi="Arial" w:cs="Arial"/>
                <w:b/>
                <w:bCs/>
                <w:sz w:val="20"/>
                <w:szCs w:val="20"/>
                <w:lang w:val="it-IT"/>
              </w:rPr>
              <w:t>Rapporto di copertura della solvibilità</w:t>
            </w:r>
          </w:p>
        </w:tc>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E4029" w14:textId="16D4A041" w:rsidR="00CD32BD" w:rsidRPr="00656794" w:rsidRDefault="00CD32BD" w:rsidP="00CD32BD">
            <w:pPr>
              <w:spacing w:after="0" w:line="240" w:lineRule="auto"/>
              <w:jc w:val="center"/>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b/>
                <w:bCs/>
                <w:color w:val="000000"/>
                <w:sz w:val="18"/>
                <w:szCs w:val="18"/>
                <w:lang w:val="it-IT" w:eastAsia="en-IE"/>
              </w:rPr>
              <w:t>177% </w:t>
            </w:r>
          </w:p>
        </w:tc>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04939" w14:textId="7614955B" w:rsidR="00CD32BD" w:rsidRPr="00656794" w:rsidRDefault="00CD32BD" w:rsidP="00CD32BD">
            <w:pPr>
              <w:spacing w:after="0" w:line="240" w:lineRule="auto"/>
              <w:jc w:val="center"/>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b/>
                <w:bCs/>
                <w:color w:val="000000"/>
                <w:sz w:val="18"/>
                <w:szCs w:val="18"/>
                <w:shd w:val="clear" w:color="auto" w:fill="FFFFFF"/>
                <w:lang w:val="it-IT" w:eastAsia="en-IE"/>
              </w:rPr>
              <w:t>180% </w:t>
            </w:r>
          </w:p>
        </w:tc>
        <w:tc>
          <w:tcPr>
            <w:tcW w:w="15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5F1F0" w14:textId="0EB2C9A9" w:rsidR="00CD32BD" w:rsidRPr="00656794" w:rsidRDefault="00CD32BD" w:rsidP="00CD32BD">
            <w:pPr>
              <w:spacing w:after="0" w:line="240" w:lineRule="auto"/>
              <w:jc w:val="center"/>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b/>
                <w:bCs/>
                <w:color w:val="000000"/>
                <w:sz w:val="18"/>
                <w:szCs w:val="18"/>
                <w:shd w:val="clear" w:color="auto" w:fill="FFFFFF"/>
                <w:lang w:val="it-IT" w:eastAsia="en-IE"/>
              </w:rPr>
              <w:t>195% </w:t>
            </w:r>
          </w:p>
        </w:tc>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F631F" w14:textId="7BEF06C6" w:rsidR="00CD32BD" w:rsidRPr="00656794" w:rsidRDefault="00CD32BD" w:rsidP="00CD32BD">
            <w:pPr>
              <w:spacing w:after="0" w:line="240" w:lineRule="auto"/>
              <w:jc w:val="center"/>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b/>
                <w:bCs/>
                <w:color w:val="000000"/>
                <w:sz w:val="18"/>
                <w:szCs w:val="18"/>
                <w:shd w:val="clear" w:color="auto" w:fill="FFFFFF"/>
                <w:lang w:val="it-IT" w:eastAsia="en-IE"/>
              </w:rPr>
              <w:t>197%</w:t>
            </w:r>
          </w:p>
        </w:tc>
      </w:tr>
    </w:tbl>
    <w:p w14:paraId="2F7A9B80" w14:textId="429E20FF" w:rsidR="00632D24" w:rsidRPr="00656794" w:rsidRDefault="00632D24" w:rsidP="00E079C7">
      <w:pPr>
        <w:pStyle w:val="NormalWeb"/>
        <w:ind w:right="102"/>
        <w:jc w:val="both"/>
        <w:rPr>
          <w:rFonts w:ascii="Arial" w:hAnsi="Arial" w:cs="Arial"/>
          <w:color w:val="000000"/>
          <w:sz w:val="12"/>
          <w:szCs w:val="12"/>
          <w:lang w:val="it-IT"/>
        </w:rPr>
      </w:pPr>
      <w:r w:rsidRPr="00656794">
        <w:rPr>
          <w:rFonts w:ascii="Arial" w:hAnsi="Arial" w:cs="Arial"/>
          <w:color w:val="000000"/>
          <w:sz w:val="12"/>
          <w:szCs w:val="12"/>
          <w:lang w:val="it-IT"/>
        </w:rPr>
        <w:t>F</w:t>
      </w:r>
      <w:r w:rsidR="00CD32BD" w:rsidRPr="00656794">
        <w:rPr>
          <w:rFonts w:ascii="Arial" w:hAnsi="Arial" w:cs="Arial"/>
          <w:color w:val="000000"/>
          <w:sz w:val="12"/>
          <w:szCs w:val="12"/>
          <w:lang w:val="it-IT"/>
        </w:rPr>
        <w:t>o</w:t>
      </w:r>
      <w:r w:rsidRPr="00656794">
        <w:rPr>
          <w:rFonts w:ascii="Arial" w:hAnsi="Arial" w:cs="Arial"/>
          <w:color w:val="000000"/>
          <w:sz w:val="12"/>
          <w:szCs w:val="12"/>
          <w:lang w:val="it-IT"/>
        </w:rPr>
        <w:t>nte: analisi ZIL</w:t>
      </w:r>
    </w:p>
    <w:p w14:paraId="5D4DE0F2" w14:textId="0E26B5D0"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Si precisa 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impatto sopra evidenziato riflette la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dimensione</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del portafoglio </w:t>
      </w:r>
      <w:r w:rsidR="00017166">
        <w:rPr>
          <w:rFonts w:ascii="Arial" w:hAnsi="Arial" w:cs="Arial"/>
          <w:color w:val="000000"/>
          <w:sz w:val="20"/>
          <w:szCs w:val="20"/>
          <w:lang w:val="it-IT"/>
        </w:rPr>
        <w:t>oggetto di trasferimento</w:t>
      </w:r>
      <w:r w:rsidRPr="00656794">
        <w:rPr>
          <w:rFonts w:ascii="Arial" w:hAnsi="Arial" w:cs="Arial"/>
          <w:color w:val="000000"/>
          <w:sz w:val="20"/>
          <w:szCs w:val="20"/>
          <w:lang w:val="it-IT"/>
        </w:rPr>
        <w:t xml:space="preserve"> al 31 dicembre 2020 e al 30 giugno 2021, ovvero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importo delle attività e delle passività associate alle polizze sottostanti cedute nonché il corrispettivo pagato a ZLAP di ZIL.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impatto effettivo del trasferimento alla </w:t>
      </w:r>
      <w:r w:rsidR="00DB414C">
        <w:rPr>
          <w:rFonts w:ascii="Arial" w:hAnsi="Arial" w:cs="Arial"/>
          <w:color w:val="000000"/>
          <w:sz w:val="20"/>
          <w:szCs w:val="20"/>
          <w:lang w:val="it-IT"/>
        </w:rPr>
        <w:t>Data di trasferimento effettiva</w:t>
      </w:r>
      <w:r w:rsidRPr="00656794">
        <w:rPr>
          <w:rFonts w:ascii="Arial" w:hAnsi="Arial" w:cs="Arial"/>
          <w:color w:val="000000"/>
          <w:sz w:val="20"/>
          <w:szCs w:val="20"/>
          <w:lang w:val="it-IT"/>
        </w:rPr>
        <w:t xml:space="preserve"> sarà leggermente diverso da quello sopra evidenziato in quanto si prevede che la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dimensione</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del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e la posizione patrimoniale ante trasferimento di ciascuna società cambino nel tempo.</w:t>
      </w:r>
    </w:p>
    <w:p w14:paraId="0FBB90B7" w14:textId="6BA1117F"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Segnalo che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u w:val="single"/>
          <w:lang w:val="it-IT"/>
        </w:rPr>
        <w:t>contraenti</w:t>
      </w:r>
      <w:r w:rsidRPr="00110CD2">
        <w:rPr>
          <w:rFonts w:ascii="Arial" w:hAnsi="Arial" w:cs="Arial"/>
          <w:color w:val="000000"/>
          <w:sz w:val="20"/>
          <w:szCs w:val="20"/>
          <w:u w:val="single"/>
          <w:lang w:val="it-IT"/>
        </w:rPr>
        <w:t xml:space="preserve"> </w:t>
      </w:r>
      <w:r w:rsidR="00953699" w:rsidRPr="00110CD2">
        <w:rPr>
          <w:rFonts w:ascii="Arial" w:hAnsi="Arial" w:cs="Arial"/>
          <w:color w:val="000000"/>
          <w:sz w:val="20"/>
          <w:szCs w:val="20"/>
          <w:u w:val="single"/>
          <w:lang w:val="it-IT"/>
        </w:rPr>
        <w:t>che verranno trasferiti in seguito alla corretta esecuzione dell’</w:t>
      </w:r>
      <w:r w:rsidR="00A82666">
        <w:rPr>
          <w:rFonts w:ascii="Arial" w:hAnsi="Arial" w:cs="Arial"/>
          <w:color w:val="000000"/>
          <w:sz w:val="20"/>
          <w:szCs w:val="20"/>
          <w:u w:val="single"/>
          <w:lang w:val="it-IT"/>
        </w:rPr>
        <w:t>Atto di Trasferimento</w:t>
      </w:r>
      <w:r w:rsidR="00953699" w:rsidRPr="00953699" w:rsidDel="00953699">
        <w:rPr>
          <w:rFonts w:ascii="Arial" w:hAnsi="Arial" w:cs="Arial"/>
          <w:color w:val="000000"/>
          <w:sz w:val="20"/>
          <w:szCs w:val="20"/>
          <w:lang w:val="it-IT"/>
        </w:rPr>
        <w:t xml:space="preserve"> </w:t>
      </w:r>
      <w:r w:rsidRPr="00656794">
        <w:rPr>
          <w:rFonts w:ascii="Arial" w:hAnsi="Arial" w:cs="Arial"/>
          <w:color w:val="000000"/>
          <w:sz w:val="20"/>
          <w:szCs w:val="20"/>
          <w:lang w:val="it-IT"/>
        </w:rPr>
        <w:t>e riporto per comodità i dati al 31 dicembre 2020:</w:t>
      </w:r>
    </w:p>
    <w:p w14:paraId="29AB6611" w14:textId="10EA35C2" w:rsidR="00E079C7" w:rsidRPr="00656794" w:rsidRDefault="00E079C7" w:rsidP="00C8549B">
      <w:pPr>
        <w:pStyle w:val="NormalWeb"/>
        <w:numPr>
          <w:ilvl w:val="0"/>
          <w:numId w:val="17"/>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Attualmente fanno parte di ZLAP, una delle più grandi compagnie di assicurazione </w:t>
      </w:r>
      <w:r w:rsidR="002A0598" w:rsidRPr="00656794">
        <w:rPr>
          <w:rFonts w:ascii="Arial" w:hAnsi="Arial" w:cs="Arial"/>
          <w:color w:val="000000"/>
          <w:sz w:val="20"/>
          <w:szCs w:val="20"/>
          <w:lang w:val="it-IT"/>
        </w:rPr>
        <w:t>su</w:t>
      </w:r>
      <w:r w:rsidR="002A0598">
        <w:rPr>
          <w:rFonts w:ascii="Arial" w:hAnsi="Arial" w:cs="Arial"/>
          <w:color w:val="000000"/>
          <w:sz w:val="20"/>
          <w:szCs w:val="20"/>
          <w:lang w:val="it-IT"/>
        </w:rPr>
        <w:t>l comparto</w:t>
      </w:r>
      <w:r w:rsidR="002A0598"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vita operante nel mercato irlandese e controllata indiretta di ZIG. A fine 2020, ZLAP aveva un requisito patrimoniale di vigilanza di 649,6 milioni di euro, con fondi propri disponibili di 851,1 milioni di euro, eccedenza di fondi propri disponibili rispetto al requisito regolamentare di 201,5 milioni di euro con un coefficiente di copertura della solvibilità del 131%.</w:t>
      </w:r>
    </w:p>
    <w:p w14:paraId="1393BBAC" w14:textId="54EF5D92" w:rsidR="00E079C7" w:rsidRPr="00656794" w:rsidRDefault="00E079C7" w:rsidP="00C8549B">
      <w:pPr>
        <w:pStyle w:val="NormalWeb"/>
        <w:numPr>
          <w:ilvl w:val="0"/>
          <w:numId w:val="17"/>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Dopo il trasferimento,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AD0F9C">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passeranno a ZIL, una controllata indiretta di ZIG. A fine 2020, ZIL aveva un requisito patrimoniale regolamentare di 424,7 milioni di euro, con Fondi Propri disponibili di 752,1 milioni di euro e Fondi Propri disponibili in eccesso al di sopra del requisito regolamentare di 327,4 milioni di euro, con un coefficiente di copertura della solvibilità del 177%. Sulla base dei risultati pro-forma preparati da ZIL</w:t>
      </w:r>
      <w:r w:rsidR="009276DA"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al 31 dicembre 2020 si prevede che ZIL post-trasferimento avrà un requisito patrimoniale di vigilanza di 446,7 milioni di euro, Fondi Propri disponibili di 804,1 milioni di euro e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eccedenza di Fondi Propri disponibili al di sopra del requisito regolamentare di 357,4 milioni di euro, con un coefficiente di copertura della solvibilità del 180%. Si prevede che il livello dei fondi propri di ZIL aumenterà da € 752,1 milioni a € 804,1 milioni a seguito del trasferimento. Ciò è dovuto al trasferimento del tax asset italiano nonché al trasferimento degli utili futuri attesi </w:t>
      </w:r>
      <w:r w:rsidR="00AC4F92" w:rsidRPr="00AC4F92">
        <w:rPr>
          <w:rFonts w:ascii="Arial" w:hAnsi="Arial" w:cs="Arial"/>
          <w:color w:val="000000"/>
          <w:sz w:val="20"/>
          <w:szCs w:val="20"/>
          <w:lang w:val="it-IT"/>
        </w:rPr>
        <w:t>relativi alla porzione di portafoglio oggetto del trasferimento</w:t>
      </w:r>
      <w:r w:rsidR="004369FF">
        <w:rPr>
          <w:rFonts w:ascii="Arial" w:hAnsi="Arial" w:cs="Arial"/>
          <w:color w:val="000000"/>
          <w:sz w:val="20"/>
          <w:szCs w:val="20"/>
          <w:lang w:val="it-IT"/>
        </w:rPr>
        <w:t>.</w:t>
      </w:r>
    </w:p>
    <w:p w14:paraId="2593789F" w14:textId="6B70E458" w:rsidR="00E079C7" w:rsidRPr="00656794" w:rsidRDefault="00AC4F92" w:rsidP="00C8549B">
      <w:pPr>
        <w:pStyle w:val="NormalWeb"/>
        <w:numPr>
          <w:ilvl w:val="0"/>
          <w:numId w:val="17"/>
        </w:numPr>
        <w:ind w:right="102"/>
        <w:jc w:val="both"/>
        <w:rPr>
          <w:rFonts w:ascii="Arial" w:hAnsi="Arial" w:cs="Arial"/>
          <w:color w:val="000000"/>
          <w:sz w:val="20"/>
          <w:szCs w:val="20"/>
          <w:lang w:val="it-IT"/>
        </w:rPr>
      </w:pPr>
      <w:r w:rsidRPr="00AC4F92">
        <w:rPr>
          <w:rFonts w:ascii="Arial" w:hAnsi="Arial" w:cs="Arial"/>
          <w:color w:val="000000"/>
          <w:sz w:val="20"/>
          <w:szCs w:val="20"/>
          <w:lang w:val="it-IT"/>
        </w:rPr>
        <w:t xml:space="preserve">Sebbene l’SCR di ZIL aumenti, non è di un importo significativo ed il livello di copertura di solvibilità prevista in ZIL dopo il trasferimento è superiore al minimo regolamentare e agli obiettivi strategici di coefficiente di solvibilità definiti internamente. </w:t>
      </w:r>
      <w:r w:rsidR="00DC30A5">
        <w:rPr>
          <w:rFonts w:ascii="Arial" w:hAnsi="Arial" w:cs="Arial"/>
          <w:color w:val="000000"/>
          <w:sz w:val="20"/>
          <w:szCs w:val="20"/>
          <w:lang w:val="it-IT"/>
        </w:rPr>
        <w:t>I</w:t>
      </w:r>
      <w:r w:rsidR="00DC30A5" w:rsidRPr="00AC4F92">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AC4F92">
        <w:rPr>
          <w:rFonts w:ascii="Arial" w:hAnsi="Arial" w:cs="Arial"/>
          <w:color w:val="000000"/>
          <w:sz w:val="20"/>
          <w:szCs w:val="20"/>
          <w:lang w:val="it-IT"/>
        </w:rPr>
        <w:t xml:space="preserve"> oggetto di trasferimento si stanno spostando in una società con un livello elevato di fondi propri in eccesso rispetto all’SCR, interpretabile come un passaggio ad una società con una forte sicurezza finanziaria sulla base delle analisi</w:t>
      </w:r>
      <w:r>
        <w:rPr>
          <w:rFonts w:ascii="Arial" w:hAnsi="Arial" w:cs="Arial"/>
          <w:color w:val="000000"/>
          <w:sz w:val="20"/>
          <w:szCs w:val="20"/>
          <w:lang w:val="it-IT"/>
        </w:rPr>
        <w:t xml:space="preserve"> </w:t>
      </w:r>
      <w:r w:rsidRPr="00AC4F92">
        <w:rPr>
          <w:rFonts w:ascii="Arial" w:hAnsi="Arial" w:cs="Arial"/>
          <w:color w:val="000000"/>
          <w:sz w:val="20"/>
          <w:szCs w:val="20"/>
          <w:lang w:val="it-IT"/>
        </w:rPr>
        <w:t>svolte</w:t>
      </w:r>
      <w:r w:rsidR="00E079C7" w:rsidRPr="00656794">
        <w:rPr>
          <w:rFonts w:ascii="Arial" w:hAnsi="Arial" w:cs="Arial"/>
          <w:color w:val="000000"/>
          <w:sz w:val="20"/>
          <w:szCs w:val="20"/>
          <w:lang w:val="it-IT"/>
        </w:rPr>
        <w:t>.</w:t>
      </w:r>
    </w:p>
    <w:p w14:paraId="25873C03" w14:textId="451B5A1E" w:rsidR="00E079C7" w:rsidRPr="00656794" w:rsidRDefault="00E079C7" w:rsidP="00C8549B">
      <w:pPr>
        <w:pStyle w:val="NormalWeb"/>
        <w:numPr>
          <w:ilvl w:val="0"/>
          <w:numId w:val="17"/>
        </w:numPr>
        <w:ind w:right="102"/>
        <w:jc w:val="both"/>
        <w:rPr>
          <w:rFonts w:ascii="Arial" w:hAnsi="Arial" w:cs="Arial"/>
          <w:color w:val="000000"/>
          <w:sz w:val="20"/>
          <w:szCs w:val="20"/>
          <w:lang w:val="it-IT"/>
        </w:rPr>
      </w:pPr>
      <w:r w:rsidRPr="00656794">
        <w:rPr>
          <w:rFonts w:ascii="Arial" w:hAnsi="Arial" w:cs="Arial"/>
          <w:color w:val="000000"/>
          <w:sz w:val="20"/>
          <w:szCs w:val="20"/>
          <w:lang w:val="it-IT"/>
        </w:rPr>
        <w:t>In conseguenza del</w:t>
      </w:r>
      <w:r w:rsidR="004369FF">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B54A6C">
        <w:rPr>
          <w:rFonts w:ascii="Arial" w:hAnsi="Arial" w:cs="Arial"/>
          <w:color w:val="000000"/>
          <w:sz w:val="20"/>
          <w:szCs w:val="20"/>
          <w:lang w:val="it-IT"/>
        </w:rPr>
        <w:t xml:space="preserve"> in perimetro di trasferimento</w:t>
      </w:r>
      <w:r w:rsidRPr="00656794">
        <w:rPr>
          <w:rFonts w:ascii="Arial" w:hAnsi="Arial" w:cs="Arial"/>
          <w:color w:val="000000"/>
          <w:sz w:val="20"/>
          <w:szCs w:val="20"/>
          <w:lang w:val="it-IT"/>
        </w:rPr>
        <w:t xml:space="preserve"> saranno esposti a un leggero cambiamento nel profilo di rischio poiché questi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diventeranno più esposti ai rischi associati alla vendita con attività di profitto - sia le garanzie che la natura delle attività di supporto. Mentre ZLAP </w:t>
      </w:r>
      <w:r w:rsidR="00720269">
        <w:rPr>
          <w:rFonts w:ascii="Arial" w:hAnsi="Arial" w:cs="Arial"/>
          <w:color w:val="000000"/>
          <w:sz w:val="20"/>
          <w:szCs w:val="20"/>
          <w:lang w:val="it-IT"/>
        </w:rPr>
        <w:t>sotto</w:t>
      </w:r>
      <w:r w:rsidRPr="00656794">
        <w:rPr>
          <w:rFonts w:ascii="Arial" w:hAnsi="Arial" w:cs="Arial"/>
          <w:color w:val="000000"/>
          <w:sz w:val="20"/>
          <w:szCs w:val="20"/>
          <w:lang w:val="it-IT"/>
        </w:rPr>
        <w:t>scrive anche con attività di profitto, non è esattamente lo stesso tipo di prodotto o sulla stessa scala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di ZIL. Tuttavia, mentre viene introdotta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ulteriore esposizione, ZIL ha esperienza nella gestione di questi rischi. </w:t>
      </w:r>
      <w:r w:rsidR="00DC02D8">
        <w:rPr>
          <w:rFonts w:ascii="Arial" w:hAnsi="Arial" w:cs="Arial"/>
          <w:color w:val="000000"/>
          <w:sz w:val="20"/>
          <w:szCs w:val="20"/>
          <w:lang w:val="it-IT"/>
        </w:rPr>
        <w:t>Confido</w:t>
      </w:r>
      <w:r w:rsidRPr="00656794">
        <w:rPr>
          <w:rFonts w:ascii="Arial" w:hAnsi="Arial" w:cs="Arial"/>
          <w:color w:val="000000"/>
          <w:sz w:val="20"/>
          <w:szCs w:val="20"/>
          <w:lang w:val="it-IT"/>
        </w:rPr>
        <w:t xml:space="preserve"> sul fatto che ciò non influisca materialmente sulla sicurezza finanziaria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che si trasferiscono.</w:t>
      </w:r>
    </w:p>
    <w:p w14:paraId="5016072C" w14:textId="56B76D3A" w:rsidR="00E079C7" w:rsidRPr="00656794" w:rsidRDefault="00E079C7" w:rsidP="00C8549B">
      <w:pPr>
        <w:pStyle w:val="NormalWeb"/>
        <w:numPr>
          <w:ilvl w:val="0"/>
          <w:numId w:val="17"/>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Sulla base delle sue proiezioni ORSA e delle proiezioni preparate considerando il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si prevede che la posizione di solvibilità di ZIL continuerà a coprire i suoi requisiti patrimoniali regolamentari e gli obiettivi di capitale interno.</w:t>
      </w:r>
    </w:p>
    <w:p w14:paraId="781DF2C8" w14:textId="1E7FFA2E" w:rsidR="00E079C7" w:rsidRPr="00656794" w:rsidRDefault="00E079C7" w:rsidP="00C8549B">
      <w:pPr>
        <w:pStyle w:val="NormalWeb"/>
        <w:numPr>
          <w:ilvl w:val="0"/>
          <w:numId w:val="17"/>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Ho considerato la forza del bilancio </w:t>
      </w:r>
      <w:r w:rsidR="00692744">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ZIL sotto </w:t>
      </w:r>
      <w:r w:rsidR="00C0350F">
        <w:rPr>
          <w:rFonts w:ascii="Arial" w:hAnsi="Arial" w:cs="Arial"/>
          <w:color w:val="000000"/>
          <w:sz w:val="20"/>
          <w:szCs w:val="20"/>
          <w:lang w:val="it-IT"/>
        </w:rPr>
        <w:t>test di stress e scenario</w:t>
      </w:r>
      <w:r w:rsidRPr="00656794">
        <w:rPr>
          <w:rFonts w:ascii="Arial" w:hAnsi="Arial" w:cs="Arial"/>
          <w:color w:val="000000"/>
          <w:sz w:val="20"/>
          <w:szCs w:val="20"/>
          <w:lang w:val="it-IT"/>
        </w:rPr>
        <w:t xml:space="preserve">, che è anche coperto come parte del processo ORSA. Sono stati individuati scenari che fanno preoccupare i limiti della propensione al rischio, </w:t>
      </w:r>
      <w:r w:rsidR="004B3887">
        <w:rPr>
          <w:rFonts w:ascii="Arial" w:hAnsi="Arial" w:cs="Arial"/>
          <w:color w:val="000000"/>
          <w:sz w:val="20"/>
          <w:szCs w:val="20"/>
          <w:lang w:val="it-IT"/>
        </w:rPr>
        <w:t>sebbene sia</w:t>
      </w:r>
      <w:r w:rsidRPr="00656794">
        <w:rPr>
          <w:rFonts w:ascii="Arial" w:hAnsi="Arial" w:cs="Arial"/>
          <w:color w:val="000000"/>
          <w:sz w:val="20"/>
          <w:szCs w:val="20"/>
          <w:lang w:val="it-IT"/>
        </w:rPr>
        <w:t xml:space="preserve"> importante notare che questo è ciò che il processo ORSA sta cercando di delineare e </w:t>
      </w:r>
      <w:r w:rsidR="00EE15F7">
        <w:rPr>
          <w:rFonts w:ascii="Arial" w:hAnsi="Arial" w:cs="Arial"/>
          <w:color w:val="000000"/>
          <w:sz w:val="20"/>
          <w:szCs w:val="20"/>
          <w:lang w:val="it-IT"/>
        </w:rPr>
        <w:t xml:space="preserve">inoltre </w:t>
      </w:r>
      <w:r w:rsidRPr="00656794">
        <w:rPr>
          <w:rFonts w:ascii="Arial" w:hAnsi="Arial" w:cs="Arial"/>
          <w:color w:val="000000"/>
          <w:sz w:val="20"/>
          <w:szCs w:val="20"/>
          <w:lang w:val="it-IT"/>
        </w:rPr>
        <w:t xml:space="preserve">documentare quale </w:t>
      </w:r>
      <w:r w:rsidR="00EE15F7">
        <w:rPr>
          <w:rFonts w:ascii="Arial" w:hAnsi="Arial" w:cs="Arial"/>
          <w:color w:val="000000"/>
          <w:sz w:val="20"/>
          <w:szCs w:val="20"/>
          <w:lang w:val="it-IT"/>
        </w:rPr>
        <w:t>potrebbe essere</w:t>
      </w:r>
      <w:r w:rsidRPr="00656794">
        <w:rPr>
          <w:rFonts w:ascii="Arial" w:hAnsi="Arial" w:cs="Arial"/>
          <w:color w:val="000000"/>
          <w:sz w:val="20"/>
          <w:szCs w:val="20"/>
          <w:lang w:val="it-IT"/>
        </w:rPr>
        <w:t xml:space="preserve"> la risposta a tali eventi. Sono in atto azioni di gestione per far fronte a tali eventualità e sono in corso azioni di gestione per far fronte ad alcuni dei rischi specifici, inclusa la diversificazione degli investimenti lontano dai titoli di stato italiani. Ritengo 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al rischio sia compresa e gestita. Non ritengo</w:t>
      </w:r>
      <w:r w:rsidR="00CF74BA">
        <w:rPr>
          <w:rFonts w:ascii="Arial" w:hAnsi="Arial" w:cs="Arial"/>
          <w:color w:val="000000"/>
          <w:sz w:val="20"/>
          <w:szCs w:val="20"/>
          <w:lang w:val="it-IT"/>
        </w:rPr>
        <w:t xml:space="preserve"> che</w:t>
      </w:r>
      <w:r w:rsidRPr="00656794">
        <w:rPr>
          <w:rFonts w:ascii="Arial" w:hAnsi="Arial" w:cs="Arial"/>
          <w:color w:val="000000"/>
          <w:sz w:val="20"/>
          <w:szCs w:val="20"/>
          <w:lang w:val="it-IT"/>
        </w:rPr>
        <w:t xml:space="preserve"> le esposizioni al rischio </w:t>
      </w:r>
      <w:r w:rsidR="00CF74BA">
        <w:rPr>
          <w:rFonts w:ascii="Arial" w:hAnsi="Arial" w:cs="Arial"/>
          <w:color w:val="000000"/>
          <w:sz w:val="20"/>
          <w:szCs w:val="20"/>
          <w:lang w:val="it-IT"/>
        </w:rPr>
        <w:t>possano</w:t>
      </w:r>
      <w:r w:rsidRPr="00656794">
        <w:rPr>
          <w:rFonts w:ascii="Arial" w:hAnsi="Arial" w:cs="Arial"/>
          <w:color w:val="000000"/>
          <w:sz w:val="20"/>
          <w:szCs w:val="20"/>
          <w:lang w:val="it-IT"/>
        </w:rPr>
        <w:t xml:space="preserve"> svantaggiare materialmente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in trasferimento.</w:t>
      </w:r>
    </w:p>
    <w:p w14:paraId="2FF7CDA8" w14:textId="6C723338" w:rsidR="00E079C7" w:rsidRPr="00656794" w:rsidRDefault="00E079C7" w:rsidP="00C8549B">
      <w:pPr>
        <w:pStyle w:val="NormalWeb"/>
        <w:numPr>
          <w:ilvl w:val="0"/>
          <w:numId w:val="17"/>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Il </w:t>
      </w:r>
      <w:r w:rsidR="00D20690">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di ZLAP è un </w:t>
      </w:r>
      <w:r w:rsidR="00D20690">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w:t>
      </w:r>
      <w:r w:rsidR="00626E3B">
        <w:rPr>
          <w:rFonts w:ascii="Arial" w:hAnsi="Arial" w:cs="Arial"/>
          <w:color w:val="000000"/>
          <w:sz w:val="20"/>
          <w:szCs w:val="20"/>
          <w:lang w:val="it-IT"/>
        </w:rPr>
        <w:t>in run-off</w:t>
      </w:r>
      <w:r w:rsidRPr="00656794">
        <w:rPr>
          <w:rFonts w:ascii="Arial" w:hAnsi="Arial" w:cs="Arial"/>
          <w:color w:val="000000"/>
          <w:sz w:val="20"/>
          <w:szCs w:val="20"/>
          <w:lang w:val="it-IT"/>
        </w:rPr>
        <w:t xml:space="preserve">, </w:t>
      </w:r>
      <w:r w:rsidR="00626E3B">
        <w:rPr>
          <w:rFonts w:ascii="Arial" w:hAnsi="Arial" w:cs="Arial"/>
          <w:color w:val="000000"/>
          <w:sz w:val="20"/>
          <w:szCs w:val="20"/>
          <w:lang w:val="it-IT"/>
        </w:rPr>
        <w:t>senza l’opportunità di sottoscrivere nuove polizze</w:t>
      </w:r>
      <w:r w:rsidRPr="00656794">
        <w:rPr>
          <w:rFonts w:ascii="Arial" w:hAnsi="Arial" w:cs="Arial"/>
          <w:color w:val="000000"/>
          <w:sz w:val="20"/>
          <w:szCs w:val="20"/>
          <w:lang w:val="it-IT"/>
        </w:rPr>
        <w:t xml:space="preserve">. Man mano </w:t>
      </w:r>
      <w:r w:rsidR="008A525A" w:rsidRPr="00656794">
        <w:rPr>
          <w:rFonts w:ascii="Arial" w:hAnsi="Arial" w:cs="Arial"/>
          <w:color w:val="000000"/>
          <w:sz w:val="20"/>
          <w:szCs w:val="20"/>
          <w:lang w:val="it-IT"/>
        </w:rPr>
        <w:t xml:space="preserve">che </w:t>
      </w:r>
      <w:r w:rsidR="00626E3B">
        <w:rPr>
          <w:rFonts w:ascii="Arial" w:hAnsi="Arial" w:cs="Arial"/>
          <w:color w:val="000000"/>
          <w:sz w:val="20"/>
          <w:szCs w:val="20"/>
          <w:lang w:val="it-IT"/>
        </w:rPr>
        <w:t>il numero complessivo</w:t>
      </w:r>
      <w:r w:rsidR="008A525A" w:rsidRPr="00656794">
        <w:rPr>
          <w:rFonts w:ascii="Arial" w:hAnsi="Arial" w:cs="Arial"/>
          <w:color w:val="000000"/>
          <w:sz w:val="20"/>
          <w:szCs w:val="20"/>
          <w:lang w:val="it-IT"/>
        </w:rPr>
        <w:t xml:space="preserve"> delle </w:t>
      </w:r>
      <w:r w:rsidR="00626E3B">
        <w:rPr>
          <w:rFonts w:ascii="Arial" w:hAnsi="Arial" w:cs="Arial"/>
          <w:color w:val="000000"/>
          <w:sz w:val="20"/>
          <w:szCs w:val="20"/>
          <w:lang w:val="it-IT"/>
        </w:rPr>
        <w:t>unità</w:t>
      </w:r>
      <w:r w:rsidR="00626E3B"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diminuisce</w:t>
      </w:r>
      <w:r w:rsidRPr="00656794">
        <w:rPr>
          <w:rFonts w:ascii="Arial" w:hAnsi="Arial" w:cs="Arial"/>
          <w:color w:val="000000"/>
          <w:sz w:val="20"/>
          <w:szCs w:val="20"/>
          <w:lang w:val="it-IT"/>
        </w:rPr>
        <w:t xml:space="preserve"> po</w:t>
      </w:r>
      <w:r w:rsidR="003B2766">
        <w:rPr>
          <w:rFonts w:ascii="Arial" w:hAnsi="Arial" w:cs="Arial"/>
          <w:color w:val="000000"/>
          <w:sz w:val="20"/>
          <w:szCs w:val="20"/>
          <w:lang w:val="it-IT"/>
        </w:rPr>
        <w:t>trebbero</w:t>
      </w:r>
      <w:r w:rsidRPr="00656794">
        <w:rPr>
          <w:rFonts w:ascii="Arial" w:hAnsi="Arial" w:cs="Arial"/>
          <w:color w:val="000000"/>
          <w:sz w:val="20"/>
          <w:szCs w:val="20"/>
          <w:lang w:val="it-IT"/>
        </w:rPr>
        <w:t xml:space="preserve"> sorgere problemi relativi alle economie di scala in aree quali la gestione delle spese e del capitale, poiché le spese generali possono essere elevate rispetto alle dimensioni del </w:t>
      </w:r>
      <w:r w:rsidR="00D20690">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Tali problemi non emergono in genere nel breve e medio termine. Non credo che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collegati italiani siano svantaggiati </w:t>
      </w:r>
      <w:r w:rsidR="003B2766">
        <w:rPr>
          <w:rFonts w:ascii="Arial" w:hAnsi="Arial" w:cs="Arial"/>
          <w:color w:val="000000"/>
          <w:sz w:val="20"/>
          <w:szCs w:val="20"/>
          <w:lang w:val="it-IT"/>
        </w:rPr>
        <w:t>dall’</w:t>
      </w:r>
      <w:r w:rsidR="00A82666">
        <w:rPr>
          <w:rFonts w:ascii="Arial" w:hAnsi="Arial" w:cs="Arial"/>
          <w:color w:val="000000"/>
          <w:sz w:val="20"/>
          <w:szCs w:val="20"/>
          <w:lang w:val="it-IT"/>
        </w:rPr>
        <w:t>Atto di Trasferimento</w:t>
      </w:r>
      <w:r w:rsidR="003B2766">
        <w:rPr>
          <w:rFonts w:ascii="Arial" w:hAnsi="Arial" w:cs="Arial"/>
          <w:color w:val="000000"/>
          <w:sz w:val="20"/>
          <w:szCs w:val="20"/>
          <w:lang w:val="it-IT"/>
        </w:rPr>
        <w:t>,</w:t>
      </w:r>
      <w:r w:rsidRPr="00656794">
        <w:rPr>
          <w:rFonts w:ascii="Arial" w:hAnsi="Arial" w:cs="Arial"/>
          <w:color w:val="000000"/>
          <w:sz w:val="20"/>
          <w:szCs w:val="20"/>
          <w:lang w:val="it-IT"/>
        </w:rPr>
        <w:t xml:space="preserve"> poiché la strategia di ZIL è quella di continuare a </w:t>
      </w:r>
      <w:r w:rsidR="00420F7E">
        <w:rPr>
          <w:rFonts w:ascii="Arial" w:hAnsi="Arial" w:cs="Arial"/>
          <w:color w:val="000000"/>
          <w:sz w:val="20"/>
          <w:szCs w:val="20"/>
          <w:lang w:val="it-IT"/>
        </w:rPr>
        <w:t>sotto</w:t>
      </w:r>
      <w:r w:rsidRPr="00656794">
        <w:rPr>
          <w:rFonts w:ascii="Arial" w:hAnsi="Arial" w:cs="Arial"/>
          <w:color w:val="000000"/>
          <w:sz w:val="20"/>
          <w:szCs w:val="20"/>
          <w:lang w:val="it-IT"/>
        </w:rPr>
        <w:t xml:space="preserve">scrivere attività </w:t>
      </w:r>
      <w:r w:rsidR="00420F7E">
        <w:rPr>
          <w:rFonts w:ascii="Arial" w:hAnsi="Arial" w:cs="Arial"/>
          <w:color w:val="000000"/>
          <w:sz w:val="20"/>
          <w:szCs w:val="20"/>
          <w:lang w:val="it-IT"/>
        </w:rPr>
        <w:t>unit-linked</w:t>
      </w:r>
      <w:r w:rsidRPr="00656794">
        <w:rPr>
          <w:rFonts w:ascii="Arial" w:hAnsi="Arial" w:cs="Arial"/>
          <w:color w:val="000000"/>
          <w:sz w:val="20"/>
          <w:szCs w:val="20"/>
          <w:lang w:val="it-IT"/>
        </w:rPr>
        <w:t xml:space="preserve"> e gestire i rischi delle economie di scala</w:t>
      </w:r>
      <w:r w:rsidR="003B2766">
        <w:rPr>
          <w:rFonts w:ascii="Arial" w:hAnsi="Arial" w:cs="Arial"/>
          <w:color w:val="000000"/>
          <w:sz w:val="20"/>
          <w:szCs w:val="20"/>
          <w:lang w:val="it-IT"/>
        </w:rPr>
        <w:t xml:space="preserve"> e</w:t>
      </w:r>
      <w:r w:rsidRPr="00656794">
        <w:rPr>
          <w:rFonts w:ascii="Arial" w:hAnsi="Arial" w:cs="Arial"/>
          <w:color w:val="000000"/>
          <w:sz w:val="20"/>
          <w:szCs w:val="20"/>
          <w:lang w:val="it-IT"/>
        </w:rPr>
        <w:t xml:space="preserve"> questo costituisce una parte fondamentale del suo </w:t>
      </w:r>
      <w:r w:rsidR="00420F7E">
        <w:rPr>
          <w:rFonts w:ascii="Arial" w:hAnsi="Arial" w:cs="Arial"/>
          <w:color w:val="000000"/>
          <w:sz w:val="20"/>
          <w:szCs w:val="20"/>
          <w:lang w:val="it-IT"/>
        </w:rPr>
        <w:t xml:space="preserve">piano </w:t>
      </w:r>
      <w:r w:rsidRPr="00656794">
        <w:rPr>
          <w:rFonts w:ascii="Arial" w:hAnsi="Arial" w:cs="Arial"/>
          <w:color w:val="000000"/>
          <w:sz w:val="20"/>
          <w:szCs w:val="20"/>
          <w:lang w:val="it-IT"/>
        </w:rPr>
        <w:t xml:space="preserve">aziendale </w:t>
      </w:r>
      <w:r w:rsidR="003B2766">
        <w:rPr>
          <w:rFonts w:ascii="Arial" w:hAnsi="Arial" w:cs="Arial"/>
          <w:color w:val="000000"/>
          <w:sz w:val="20"/>
          <w:szCs w:val="20"/>
          <w:lang w:val="it-IT"/>
        </w:rPr>
        <w:lastRenderedPageBreak/>
        <w:t xml:space="preserve">strategico </w:t>
      </w:r>
      <w:r w:rsidRPr="00656794">
        <w:rPr>
          <w:rFonts w:ascii="Arial" w:hAnsi="Arial" w:cs="Arial"/>
          <w:color w:val="000000"/>
          <w:sz w:val="20"/>
          <w:szCs w:val="20"/>
          <w:lang w:val="it-IT"/>
        </w:rPr>
        <w:t xml:space="preserve">per il futuro. Sono </w:t>
      </w:r>
      <w:r w:rsidR="00D160D9">
        <w:rPr>
          <w:rFonts w:ascii="Arial" w:hAnsi="Arial" w:cs="Arial"/>
          <w:color w:val="000000"/>
          <w:sz w:val="20"/>
          <w:szCs w:val="20"/>
          <w:lang w:val="it-IT"/>
        </w:rPr>
        <w:t>soddisfatto</w:t>
      </w:r>
      <w:r w:rsidRPr="00656794">
        <w:rPr>
          <w:rFonts w:ascii="Arial" w:hAnsi="Arial" w:cs="Arial"/>
          <w:color w:val="000000"/>
          <w:sz w:val="20"/>
          <w:szCs w:val="20"/>
          <w:lang w:val="it-IT"/>
        </w:rPr>
        <w:t xml:space="preserve"> sul fatto che ciò non influisca materialmente sulla sicurezza finanziaria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D20690">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w:t>
      </w:r>
    </w:p>
    <w:p w14:paraId="50996831" w14:textId="0E869F78"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Prendo atto che, per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rimanenti di ZLAP</w:t>
      </w:r>
      <w:r w:rsidRPr="00656794">
        <w:rPr>
          <w:rFonts w:ascii="Arial" w:hAnsi="Arial" w:cs="Arial"/>
          <w:color w:val="000000"/>
          <w:sz w:val="20"/>
          <w:szCs w:val="20"/>
          <w:lang w:val="it-IT"/>
        </w:rPr>
        <w:t>:</w:t>
      </w:r>
    </w:p>
    <w:p w14:paraId="25BBE333" w14:textId="63418554" w:rsidR="00E079C7" w:rsidRPr="00931E4D" w:rsidRDefault="00E079C7" w:rsidP="00110CD2">
      <w:pPr>
        <w:pStyle w:val="NormalWeb"/>
        <w:numPr>
          <w:ilvl w:val="0"/>
          <w:numId w:val="19"/>
        </w:numPr>
        <w:ind w:left="426" w:right="102" w:hanging="426"/>
        <w:jc w:val="both"/>
        <w:rPr>
          <w:rFonts w:ascii="Arial" w:hAnsi="Arial" w:cs="Arial"/>
          <w:color w:val="000000"/>
          <w:sz w:val="20"/>
          <w:szCs w:val="20"/>
          <w:lang w:val="it-IT"/>
        </w:rPr>
      </w:pPr>
      <w:r w:rsidRPr="00656794">
        <w:rPr>
          <w:rFonts w:ascii="Arial" w:hAnsi="Arial" w:cs="Arial"/>
          <w:color w:val="000000"/>
          <w:sz w:val="20"/>
          <w:szCs w:val="20"/>
          <w:lang w:val="it-IT"/>
        </w:rPr>
        <w:t xml:space="preserve">Il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è relativamente irrilevante nel contesto del portafoglio complessivo di ZLAP. La cessione del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non ha impatti materiali su</w:t>
      </w:r>
      <w:r w:rsidR="00931E4D">
        <w:rPr>
          <w:rFonts w:ascii="Arial" w:hAnsi="Arial" w:cs="Arial"/>
          <w:color w:val="000000"/>
          <w:sz w:val="20"/>
          <w:szCs w:val="20"/>
          <w:lang w:val="it-IT"/>
        </w:rPr>
        <w:t>l</w:t>
      </w:r>
      <w:r w:rsidRPr="00931E4D">
        <w:rPr>
          <w:rFonts w:ascii="Arial" w:hAnsi="Arial" w:cs="Arial"/>
          <w:color w:val="000000"/>
          <w:sz w:val="20"/>
          <w:szCs w:val="20"/>
          <w:lang w:val="it-IT"/>
        </w:rPr>
        <w:t xml:space="preserve">le strutture riassicurative, le strutture di governance o il livello di capitale disponibile. Di conseguenza, </w:t>
      </w:r>
      <w:r w:rsidR="007B421E">
        <w:rPr>
          <w:rFonts w:ascii="Arial" w:hAnsi="Arial" w:cs="Arial"/>
          <w:color w:val="000000"/>
          <w:sz w:val="20"/>
          <w:szCs w:val="20"/>
          <w:lang w:val="it-IT"/>
        </w:rPr>
        <w:t>confido</w:t>
      </w:r>
      <w:r w:rsidRPr="00931E4D">
        <w:rPr>
          <w:rFonts w:ascii="Arial" w:hAnsi="Arial" w:cs="Arial"/>
          <w:color w:val="000000"/>
          <w:sz w:val="20"/>
          <w:szCs w:val="20"/>
          <w:lang w:val="it-IT"/>
        </w:rPr>
        <w:t xml:space="preserve"> sul fatto che </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931E4D">
        <w:rPr>
          <w:rFonts w:ascii="Arial" w:hAnsi="Arial" w:cs="Arial"/>
          <w:color w:val="000000"/>
          <w:sz w:val="20"/>
          <w:szCs w:val="20"/>
          <w:lang w:val="it-IT"/>
        </w:rPr>
        <w:t xml:space="preserve"> non abbia un impatto negativo </w:t>
      </w:r>
      <w:r w:rsidR="00DC30A5">
        <w:rPr>
          <w:rFonts w:ascii="Arial" w:hAnsi="Arial" w:cs="Arial"/>
          <w:color w:val="000000"/>
          <w:sz w:val="20"/>
          <w:szCs w:val="20"/>
          <w:lang w:val="it-IT"/>
        </w:rPr>
        <w:t>sui</w:t>
      </w:r>
      <w:r w:rsidR="00DC30A5" w:rsidRPr="00931E4D">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931E4D">
        <w:rPr>
          <w:rFonts w:ascii="Arial" w:hAnsi="Arial" w:cs="Arial"/>
          <w:color w:val="000000"/>
          <w:sz w:val="20"/>
          <w:szCs w:val="20"/>
          <w:lang w:val="it-IT"/>
        </w:rPr>
        <w:t xml:space="preserve"> che rimangono in ZLAP dopo il completamento del </w:t>
      </w:r>
      <w:r w:rsidR="00AE4256">
        <w:rPr>
          <w:rFonts w:ascii="Arial" w:hAnsi="Arial" w:cs="Arial"/>
          <w:color w:val="000000"/>
          <w:sz w:val="20"/>
          <w:szCs w:val="20"/>
          <w:lang w:val="it-IT"/>
        </w:rPr>
        <w:t>Atto di Trasferimento</w:t>
      </w:r>
      <w:r w:rsidRPr="00931E4D">
        <w:rPr>
          <w:rFonts w:ascii="Arial" w:hAnsi="Arial" w:cs="Arial"/>
          <w:color w:val="000000"/>
          <w:sz w:val="20"/>
          <w:szCs w:val="20"/>
          <w:lang w:val="it-IT"/>
        </w:rPr>
        <w:t>.</w:t>
      </w:r>
    </w:p>
    <w:p w14:paraId="3407DA78" w14:textId="4618A083"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Prendo atto che, per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w:t>
      </w:r>
      <w:r w:rsidR="009C2D44">
        <w:rPr>
          <w:rFonts w:ascii="Arial" w:hAnsi="Arial" w:cs="Arial"/>
          <w:color w:val="000000"/>
          <w:sz w:val="20"/>
          <w:szCs w:val="20"/>
          <w:lang w:val="it-IT"/>
        </w:rPr>
        <w:t>esistenti di ZIL</w:t>
      </w:r>
      <w:r w:rsidRPr="00656794">
        <w:rPr>
          <w:rFonts w:ascii="Arial" w:hAnsi="Arial" w:cs="Arial"/>
          <w:color w:val="000000"/>
          <w:sz w:val="20"/>
          <w:szCs w:val="20"/>
          <w:lang w:val="it-IT"/>
        </w:rPr>
        <w:t xml:space="preserve"> e riporto per comodità i dati al 31 dicembre 2020:</w:t>
      </w:r>
    </w:p>
    <w:p w14:paraId="2C54F740" w14:textId="3E3210FC" w:rsidR="00E079C7" w:rsidRPr="00656794" w:rsidRDefault="00E079C7" w:rsidP="00C8549B">
      <w:pPr>
        <w:pStyle w:val="NormalWeb"/>
        <w:numPr>
          <w:ilvl w:val="0"/>
          <w:numId w:val="20"/>
        </w:numPr>
        <w:ind w:right="102"/>
        <w:jc w:val="both"/>
        <w:rPr>
          <w:rFonts w:ascii="Arial" w:hAnsi="Arial" w:cs="Arial"/>
          <w:color w:val="000000"/>
          <w:sz w:val="20"/>
          <w:szCs w:val="20"/>
          <w:lang w:val="it-IT"/>
        </w:rPr>
      </w:pPr>
      <w:r w:rsidRPr="00656794">
        <w:rPr>
          <w:rFonts w:ascii="Arial" w:hAnsi="Arial" w:cs="Arial"/>
          <w:color w:val="000000"/>
          <w:sz w:val="20"/>
          <w:szCs w:val="20"/>
          <w:lang w:val="it-IT"/>
        </w:rPr>
        <w:t>Esiste una forte posizione patrimoniale regolamentare prima e dopo il trasferimento.</w:t>
      </w:r>
    </w:p>
    <w:p w14:paraId="529E1AEE" w14:textId="619B85DF" w:rsidR="00E079C7" w:rsidRPr="00656794" w:rsidRDefault="00E079C7" w:rsidP="00C8549B">
      <w:pPr>
        <w:pStyle w:val="NormalWeb"/>
        <w:numPr>
          <w:ilvl w:val="0"/>
          <w:numId w:val="20"/>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Come da bilancio pro-forma sopra delineato, si prevede che il livello dei Fondi Propri di ZIL aumenterà da € 752,1 milioni a € 804,1 milioni a seguito del trasferimento. Ciò è dovuto al trasferimento del tax asset italiano nonché al trasferimento degli utili futuri </w:t>
      </w:r>
      <w:r w:rsidR="00783326">
        <w:rPr>
          <w:rFonts w:ascii="Arial" w:hAnsi="Arial" w:cs="Arial"/>
          <w:color w:val="000000"/>
          <w:sz w:val="20"/>
          <w:szCs w:val="20"/>
          <w:lang w:val="it-IT"/>
        </w:rPr>
        <w:t xml:space="preserve">attesi </w:t>
      </w:r>
      <w:r w:rsidR="00783326" w:rsidRPr="00AC4F92">
        <w:rPr>
          <w:rFonts w:ascii="Arial" w:hAnsi="Arial" w:cs="Arial"/>
          <w:color w:val="000000"/>
          <w:sz w:val="20"/>
          <w:szCs w:val="20"/>
          <w:lang w:val="it-IT"/>
        </w:rPr>
        <w:t>relativi alla porzione di portafoglio oggetto del trasferimento</w:t>
      </w:r>
      <w:r w:rsidR="00867942">
        <w:rPr>
          <w:rFonts w:ascii="Arial" w:hAnsi="Arial" w:cs="Arial"/>
          <w:color w:val="000000"/>
          <w:sz w:val="20"/>
          <w:szCs w:val="20"/>
          <w:lang w:val="it-IT"/>
        </w:rPr>
        <w:t>.</w:t>
      </w:r>
    </w:p>
    <w:p w14:paraId="167BFDA5" w14:textId="08D95870" w:rsidR="00E079C7" w:rsidRPr="00656794" w:rsidRDefault="00E079C7" w:rsidP="00C8549B">
      <w:pPr>
        <w:pStyle w:val="NormalWeb"/>
        <w:numPr>
          <w:ilvl w:val="0"/>
          <w:numId w:val="20"/>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Pre-trasferimento,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ZIL hanno un SCR di 424,7 milioni di euro e un coefficiente di solvibilità del 177%. Successivamente alla cessione,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sale a 446,7 milioni di euro per effetto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accresciuto rischio di mercato dovuto alla cessione del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Il coefficiente di solvibilità sale al 180%. Nel complesso, la copertura di solvibilità di cui godono è aumentata e rimane ampiamente al di sopra dei livelli minimi regolamentari e degli obiettivi interni di coefficiente di solvibilità strategico.</w:t>
      </w:r>
    </w:p>
    <w:p w14:paraId="2DBE6CF9" w14:textId="5B941D0F" w:rsidR="00E079C7" w:rsidRPr="00656794" w:rsidRDefault="00E079C7" w:rsidP="00C8549B">
      <w:pPr>
        <w:pStyle w:val="NormalWeb"/>
        <w:numPr>
          <w:ilvl w:val="0"/>
          <w:numId w:val="20"/>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ZIL </w:t>
      </w:r>
      <w:r w:rsidR="00783326">
        <w:rPr>
          <w:rFonts w:ascii="Arial" w:hAnsi="Arial" w:cs="Arial"/>
          <w:color w:val="000000"/>
          <w:sz w:val="20"/>
          <w:szCs w:val="20"/>
          <w:lang w:val="it-IT"/>
        </w:rPr>
        <w:t>sotto</w:t>
      </w:r>
      <w:r w:rsidRPr="00656794">
        <w:rPr>
          <w:rFonts w:ascii="Arial" w:hAnsi="Arial" w:cs="Arial"/>
          <w:color w:val="000000"/>
          <w:sz w:val="20"/>
          <w:szCs w:val="20"/>
          <w:lang w:val="it-IT"/>
        </w:rPr>
        <w:t xml:space="preserve">scrive già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in Italia. Pertanto, non vengono introdotti nuovi rischi nel bilancio di ZIL a seguito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e quindi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di ZLAP esistenti</w:t>
      </w:r>
      <w:r w:rsidRPr="00656794">
        <w:rPr>
          <w:rFonts w:ascii="Arial" w:hAnsi="Arial" w:cs="Arial"/>
          <w:color w:val="000000"/>
          <w:sz w:val="20"/>
          <w:szCs w:val="20"/>
          <w:lang w:val="it-IT"/>
        </w:rPr>
        <w:t xml:space="preserve"> non sono svantaggiati a causa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7D67519D" w14:textId="691909FB" w:rsidR="00E079C7" w:rsidRPr="00656794" w:rsidRDefault="00E079C7" w:rsidP="00C8549B">
      <w:pPr>
        <w:pStyle w:val="NormalWeb"/>
        <w:numPr>
          <w:ilvl w:val="0"/>
          <w:numId w:val="20"/>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Sulla base delle sue proiezioni ORSA e delle proiezioni preparate considerando il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si prevede che la posizione di solvibilità di ZIL continuerà a soddisfare i suoi requisiti patrimoniali regolamentari e gli obiettivi di capitale interno in una serie di scenari avversi.</w:t>
      </w:r>
    </w:p>
    <w:p w14:paraId="7FB2E6F9" w14:textId="77777777"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 miei risultati sono invariati in base alla posizione aggiornata al 30 giugno 2021.</w:t>
      </w:r>
    </w:p>
    <w:p w14:paraId="0D53D0E0" w14:textId="118D7C17"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È in essere una riassicurazione su un numero limitato di polizze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Per meno di 100 polizze che hanno un rider di protezione,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indennità di protezione è retrocessa del 50% a ZIC (società madre).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accordo di riassicurazione esistente verrà annullato in quanto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è ridotta e ZIL preferirebbe non avere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onere amministrativo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accordo. Prendo atto che la riassicurazione in atto non è rilevante con un premio di riassicurazione annuo compreso tra € </w:t>
      </w:r>
      <w:r w:rsidR="006172C6">
        <w:rPr>
          <w:rFonts w:ascii="Arial" w:hAnsi="Arial" w:cs="Arial"/>
          <w:color w:val="000000"/>
          <w:sz w:val="20"/>
          <w:szCs w:val="20"/>
          <w:lang w:val="it-IT"/>
        </w:rPr>
        <w:t>10.000 e € 15.000</w:t>
      </w:r>
      <w:r w:rsidRPr="00656794">
        <w:rPr>
          <w:rFonts w:ascii="Arial" w:hAnsi="Arial" w:cs="Arial"/>
          <w:color w:val="000000"/>
          <w:sz w:val="20"/>
          <w:szCs w:val="20"/>
          <w:lang w:val="it-IT"/>
        </w:rPr>
        <w:t>. Questo è stato preso in considerazione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analisi proforma di cui sopra.</w:t>
      </w:r>
    </w:p>
    <w:p w14:paraId="6380E2EF" w14:textId="4EFE5CFA"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Ho considerato gli effetti </w:t>
      </w:r>
      <w:r w:rsidR="005B7BBB" w:rsidRPr="00656794">
        <w:rPr>
          <w:rFonts w:ascii="Arial" w:hAnsi="Arial" w:cs="Arial"/>
          <w:color w:val="000000"/>
          <w:sz w:val="20"/>
          <w:szCs w:val="20"/>
          <w:lang w:val="it-IT"/>
        </w:rPr>
        <w:t>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sulle aspettative e sul trattamento equo di ciascuno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trasferenti, concentrandomi sui seguenti aspetti:</w:t>
      </w:r>
    </w:p>
    <w:p w14:paraId="628EE88D" w14:textId="678DB576" w:rsidR="00E079C7" w:rsidRPr="00656794" w:rsidRDefault="00E079C7" w:rsidP="00CD0E80">
      <w:pPr>
        <w:pStyle w:val="NormalWeb"/>
        <w:numPr>
          <w:ilvl w:val="0"/>
          <w:numId w:val="21"/>
        </w:numPr>
        <w:ind w:right="102"/>
        <w:jc w:val="both"/>
        <w:rPr>
          <w:rFonts w:ascii="Arial" w:hAnsi="Arial" w:cs="Arial"/>
          <w:color w:val="000000"/>
          <w:sz w:val="20"/>
          <w:szCs w:val="20"/>
          <w:lang w:val="it-IT"/>
        </w:rPr>
      </w:pPr>
      <w:r w:rsidRPr="00656794">
        <w:rPr>
          <w:rFonts w:ascii="Arial" w:hAnsi="Arial" w:cs="Arial"/>
          <w:i/>
          <w:iCs/>
          <w:color w:val="000000"/>
          <w:sz w:val="20"/>
          <w:szCs w:val="20"/>
          <w:lang w:val="it-IT"/>
        </w:rPr>
        <w:t>Standard di servizio</w:t>
      </w:r>
      <w:r w:rsidRPr="00656794">
        <w:rPr>
          <w:rFonts w:ascii="Arial" w:hAnsi="Arial" w:cs="Arial"/>
          <w:color w:val="000000"/>
          <w:sz w:val="20"/>
          <w:szCs w:val="20"/>
          <w:lang w:val="it-IT"/>
        </w:rPr>
        <w:t xml:space="preserve">: alla </w:t>
      </w:r>
      <w:r w:rsidR="00DB4C55">
        <w:rPr>
          <w:rFonts w:ascii="Arial" w:hAnsi="Arial" w:cs="Arial"/>
          <w:color w:val="000000"/>
          <w:sz w:val="20"/>
          <w:szCs w:val="20"/>
          <w:lang w:val="it-IT"/>
        </w:rPr>
        <w:t>data di trasferimento effettiva</w:t>
      </w:r>
      <w:r w:rsidRPr="00656794">
        <w:rPr>
          <w:rFonts w:ascii="Arial" w:hAnsi="Arial" w:cs="Arial"/>
          <w:color w:val="000000"/>
          <w:sz w:val="20"/>
          <w:szCs w:val="20"/>
          <w:lang w:val="it-IT"/>
        </w:rPr>
        <w:t xml:space="preserve">, si intende che il fornitore di amministrazione esistente Capita sarà sostituito da un fornitore di amministrazione alternativo, Previnet, </w:t>
      </w:r>
      <w:r w:rsidR="00DB178A">
        <w:rPr>
          <w:rFonts w:ascii="Arial" w:hAnsi="Arial" w:cs="Arial"/>
          <w:color w:val="000000"/>
          <w:sz w:val="20"/>
          <w:szCs w:val="20"/>
          <w:lang w:val="it-IT"/>
        </w:rPr>
        <w:t>che risulta essere il fornitore di servizi in outsourcing</w:t>
      </w:r>
      <w:r w:rsidRPr="00656794">
        <w:rPr>
          <w:rFonts w:ascii="Arial" w:hAnsi="Arial" w:cs="Arial"/>
          <w:color w:val="000000"/>
          <w:sz w:val="20"/>
          <w:szCs w:val="20"/>
          <w:lang w:val="it-IT"/>
        </w:rPr>
        <w:t xml:space="preserve"> scelto per </w:t>
      </w:r>
      <w:r w:rsidR="00BC3179">
        <w:rPr>
          <w:rFonts w:ascii="Arial" w:hAnsi="Arial" w:cs="Arial"/>
          <w:color w:val="000000"/>
          <w:sz w:val="20"/>
          <w:szCs w:val="20"/>
          <w:lang w:val="it-IT"/>
        </w:rPr>
        <w:t>la gestione di questo portafoglio</w:t>
      </w:r>
      <w:r w:rsidRPr="00656794">
        <w:rPr>
          <w:rFonts w:ascii="Arial" w:hAnsi="Arial" w:cs="Arial"/>
          <w:color w:val="000000"/>
          <w:sz w:val="20"/>
          <w:szCs w:val="20"/>
          <w:lang w:val="it-IT"/>
        </w:rPr>
        <w:t xml:space="preserve"> ed è un fornitore di servizi in outsourcing affermato a livello europeo. Il </w:t>
      </w:r>
      <w:r w:rsidR="00D20690">
        <w:rPr>
          <w:rFonts w:ascii="Arial" w:hAnsi="Arial" w:cs="Arial"/>
          <w:color w:val="000000"/>
          <w:sz w:val="20"/>
          <w:szCs w:val="20"/>
          <w:lang w:val="it-IT"/>
        </w:rPr>
        <w:t xml:space="preserve">portafoglio </w:t>
      </w:r>
      <w:r w:rsidR="00BC3179">
        <w:rPr>
          <w:rFonts w:ascii="Arial" w:hAnsi="Arial" w:cs="Arial"/>
          <w:color w:val="000000"/>
          <w:sz w:val="20"/>
          <w:szCs w:val="20"/>
          <w:lang w:val="it-IT"/>
        </w:rPr>
        <w:t>oggetto di trasferimento</w:t>
      </w:r>
      <w:r w:rsidRPr="00656794">
        <w:rPr>
          <w:rFonts w:ascii="Arial" w:hAnsi="Arial" w:cs="Arial"/>
          <w:color w:val="000000"/>
          <w:sz w:val="20"/>
          <w:szCs w:val="20"/>
          <w:lang w:val="it-IT"/>
        </w:rPr>
        <w:t xml:space="preserve"> </w:t>
      </w:r>
      <w:r w:rsidR="00AA1E68">
        <w:rPr>
          <w:rFonts w:ascii="Arial" w:hAnsi="Arial" w:cs="Arial"/>
          <w:color w:val="000000"/>
          <w:sz w:val="20"/>
          <w:szCs w:val="20"/>
          <w:lang w:val="it-IT"/>
        </w:rPr>
        <w:t>è attualmente gestito</w:t>
      </w:r>
      <w:r w:rsidRPr="00656794">
        <w:rPr>
          <w:rFonts w:ascii="Arial" w:hAnsi="Arial" w:cs="Arial"/>
          <w:color w:val="000000"/>
          <w:sz w:val="20"/>
          <w:szCs w:val="20"/>
          <w:lang w:val="it-IT"/>
        </w:rPr>
        <w:t xml:space="preserve"> nei sistemi di amministrazione Life400 e ZLife e, come parte </w:t>
      </w:r>
      <w:r w:rsidR="005B7BBB" w:rsidRPr="00656794">
        <w:rPr>
          <w:rFonts w:ascii="Arial" w:hAnsi="Arial" w:cs="Arial"/>
          <w:color w:val="000000"/>
          <w:sz w:val="20"/>
          <w:szCs w:val="20"/>
          <w:lang w:val="it-IT"/>
        </w:rPr>
        <w:t>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w:t>
      </w:r>
      <w:r w:rsidR="007E7E49">
        <w:rPr>
          <w:rFonts w:ascii="Arial" w:hAnsi="Arial" w:cs="Arial"/>
          <w:color w:val="000000"/>
          <w:sz w:val="20"/>
          <w:szCs w:val="20"/>
          <w:lang w:val="it-IT"/>
        </w:rPr>
        <w:t>entrambe le componenti</w:t>
      </w:r>
      <w:r w:rsidRPr="00656794">
        <w:rPr>
          <w:rFonts w:ascii="Arial" w:hAnsi="Arial" w:cs="Arial"/>
          <w:color w:val="000000"/>
          <w:sz w:val="20"/>
          <w:szCs w:val="20"/>
          <w:lang w:val="it-IT"/>
        </w:rPr>
        <w:t xml:space="preserve"> stanno migrando a Previnet.</w:t>
      </w:r>
    </w:p>
    <w:p w14:paraId="01B499FB" w14:textId="14613BBE" w:rsidR="00E079C7" w:rsidRPr="00656794" w:rsidRDefault="00E079C7" w:rsidP="001D2BA3">
      <w:pPr>
        <w:pStyle w:val="NormalWeb"/>
        <w:ind w:left="360"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È stato istituito un gruppo di progetto che include rappresentanti di ZLAP, ZIL e Previnet per garantire la transizione graduale delle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xml:space="preserve">. Il completamento del progetto in linea con il calendario del progetto è la chiave per consentire il trasferimento del portafoglio. Sono </w:t>
      </w:r>
      <w:r w:rsidR="00F94268">
        <w:rPr>
          <w:rFonts w:ascii="Arial" w:hAnsi="Arial" w:cs="Arial"/>
          <w:color w:val="000000"/>
          <w:sz w:val="20"/>
          <w:szCs w:val="20"/>
          <w:lang w:val="it-IT"/>
        </w:rPr>
        <w:t>già cominciate le attività</w:t>
      </w:r>
      <w:r w:rsidR="00F94268" w:rsidRPr="00656794">
        <w:rPr>
          <w:rFonts w:ascii="Arial" w:hAnsi="Arial" w:cs="Arial"/>
          <w:color w:val="000000"/>
          <w:sz w:val="20"/>
          <w:szCs w:val="20"/>
          <w:lang w:val="it-IT"/>
        </w:rPr>
        <w:t xml:space="preserve"> </w:t>
      </w:r>
      <w:r w:rsidR="00F94268">
        <w:rPr>
          <w:rFonts w:ascii="Arial" w:hAnsi="Arial" w:cs="Arial"/>
          <w:color w:val="000000"/>
          <w:sz w:val="20"/>
          <w:szCs w:val="20"/>
          <w:lang w:val="it-IT"/>
        </w:rPr>
        <w:t>p</w:t>
      </w:r>
      <w:r w:rsidRPr="00656794">
        <w:rPr>
          <w:rFonts w:ascii="Arial" w:hAnsi="Arial" w:cs="Arial"/>
          <w:color w:val="000000"/>
          <w:sz w:val="20"/>
          <w:szCs w:val="20"/>
          <w:lang w:val="it-IT"/>
        </w:rPr>
        <w:t xml:space="preserve">er la migrazione </w:t>
      </w:r>
      <w:r w:rsidR="00F94268">
        <w:rPr>
          <w:rFonts w:ascii="Arial" w:hAnsi="Arial" w:cs="Arial"/>
          <w:color w:val="000000"/>
          <w:sz w:val="20"/>
          <w:szCs w:val="20"/>
          <w:lang w:val="it-IT"/>
        </w:rPr>
        <w:t>polizze</w:t>
      </w:r>
      <w:r w:rsidRPr="00656794">
        <w:rPr>
          <w:rFonts w:ascii="Arial" w:hAnsi="Arial" w:cs="Arial"/>
          <w:color w:val="000000"/>
          <w:sz w:val="20"/>
          <w:szCs w:val="20"/>
          <w:lang w:val="it-IT"/>
        </w:rPr>
        <w:t xml:space="preserve"> che, in base al</w:t>
      </w:r>
      <w:r w:rsidR="00F94268">
        <w:rPr>
          <w:rFonts w:ascii="Arial" w:hAnsi="Arial" w:cs="Arial"/>
          <w:color w:val="000000"/>
          <w:sz w:val="20"/>
          <w:szCs w:val="20"/>
          <w:lang w:val="it-IT"/>
        </w:rPr>
        <w:t xml:space="preserve"> calendario del</w:t>
      </w:r>
      <w:r w:rsidRPr="00656794">
        <w:rPr>
          <w:rFonts w:ascii="Arial" w:hAnsi="Arial" w:cs="Arial"/>
          <w:color w:val="000000"/>
          <w:sz w:val="20"/>
          <w:szCs w:val="20"/>
          <w:lang w:val="it-IT"/>
        </w:rPr>
        <w:t xml:space="preserve"> progetto, dovrebbero protrarsi fino ad aprile</w:t>
      </w:r>
      <w:r w:rsidR="00C8549B"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2022. Il </w:t>
      </w:r>
      <w:r w:rsidR="00F94268">
        <w:rPr>
          <w:rFonts w:ascii="Arial" w:hAnsi="Arial" w:cs="Arial"/>
          <w:color w:val="000000"/>
          <w:sz w:val="20"/>
          <w:szCs w:val="20"/>
          <w:lang w:val="it-IT"/>
        </w:rPr>
        <w:t>piano</w:t>
      </w:r>
      <w:r w:rsidRPr="00656794">
        <w:rPr>
          <w:rFonts w:ascii="Arial" w:hAnsi="Arial" w:cs="Arial"/>
          <w:color w:val="000000"/>
          <w:sz w:val="20"/>
          <w:szCs w:val="20"/>
          <w:lang w:val="it-IT"/>
        </w:rPr>
        <w:t xml:space="preserve"> progetto è stato oggetto di una revisione dettagliata ed è in atto una forte supervisione man mano che il progetto progredisce.</w:t>
      </w:r>
    </w:p>
    <w:p w14:paraId="0883F40D" w14:textId="682AB91F" w:rsidR="00E079C7" w:rsidRPr="00656794" w:rsidRDefault="00E079C7" w:rsidP="001D2BA3">
      <w:pPr>
        <w:pStyle w:val="NormalWeb"/>
        <w:ind w:left="360"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xml:space="preserve">In linea con il </w:t>
      </w:r>
      <w:r w:rsidR="007C28E7">
        <w:rPr>
          <w:rFonts w:ascii="Arial" w:hAnsi="Arial" w:cs="Arial"/>
          <w:color w:val="000000"/>
          <w:sz w:val="20"/>
          <w:szCs w:val="20"/>
          <w:lang w:val="it-IT"/>
        </w:rPr>
        <w:t>Contratto di vendita aziendale</w:t>
      </w:r>
      <w:r w:rsidRPr="00656794">
        <w:rPr>
          <w:rFonts w:ascii="Arial" w:hAnsi="Arial" w:cs="Arial"/>
          <w:color w:val="000000"/>
          <w:sz w:val="20"/>
          <w:szCs w:val="20"/>
          <w:lang w:val="it-IT"/>
        </w:rPr>
        <w:t xml:space="preserve">, la migrazione IT sarà completata prima del trasferimento del portafoglio. </w:t>
      </w:r>
      <w:r w:rsidR="00AF6C34" w:rsidRPr="00AF6C34">
        <w:rPr>
          <w:rFonts w:ascii="Arial" w:hAnsi="Arial" w:cs="Arial"/>
          <w:color w:val="000000"/>
          <w:sz w:val="20"/>
          <w:szCs w:val="20"/>
          <w:lang w:val="it-IT"/>
        </w:rPr>
        <w:t xml:space="preserve">Prevedo che il progetto di migrazione verrà completato in anticipo rispetto alla data effettiva di trasferimento, in modo da garantire una transizione che favorisca la continuità in termini di servizi amministrativi per </w:t>
      </w:r>
      <w:r w:rsidR="00DC30A5">
        <w:rPr>
          <w:rFonts w:ascii="Arial" w:hAnsi="Arial" w:cs="Arial"/>
          <w:color w:val="000000"/>
          <w:sz w:val="20"/>
          <w:szCs w:val="20"/>
          <w:lang w:val="it-IT"/>
        </w:rPr>
        <w:t>i</w:t>
      </w:r>
      <w:r w:rsidR="00DC30A5" w:rsidRPr="00AF6C3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AF6C34" w:rsidRPr="00AF6C34">
        <w:rPr>
          <w:rFonts w:ascii="Arial" w:hAnsi="Arial" w:cs="Arial"/>
          <w:color w:val="000000"/>
          <w:sz w:val="20"/>
          <w:szCs w:val="20"/>
          <w:lang w:val="it-IT"/>
        </w:rPr>
        <w:t>, senza alcun impatto sui servizi loro forniti prima, durante e dopo la data di trasferimento effettiva</w:t>
      </w:r>
      <w:r w:rsidRPr="00656794">
        <w:rPr>
          <w:rFonts w:ascii="Arial" w:hAnsi="Arial" w:cs="Arial"/>
          <w:color w:val="000000"/>
          <w:sz w:val="20"/>
          <w:szCs w:val="20"/>
          <w:lang w:val="it-IT"/>
        </w:rPr>
        <w:t>.</w:t>
      </w:r>
    </w:p>
    <w:p w14:paraId="49363D3D" w14:textId="3F3E40C6" w:rsidR="00E079C7" w:rsidRPr="00656794" w:rsidRDefault="00E079C7" w:rsidP="00CD0E80">
      <w:pPr>
        <w:pStyle w:val="NormalWeb"/>
        <w:numPr>
          <w:ilvl w:val="0"/>
          <w:numId w:val="21"/>
        </w:numPr>
        <w:ind w:right="102"/>
        <w:jc w:val="both"/>
        <w:rPr>
          <w:rFonts w:ascii="Arial" w:hAnsi="Arial" w:cs="Arial"/>
          <w:color w:val="000000"/>
          <w:sz w:val="20"/>
          <w:szCs w:val="20"/>
          <w:lang w:val="it-IT"/>
        </w:rPr>
      </w:pPr>
      <w:r w:rsidRPr="00656794">
        <w:rPr>
          <w:rFonts w:ascii="Arial" w:hAnsi="Arial" w:cs="Arial"/>
          <w:i/>
          <w:iCs/>
          <w:color w:val="000000"/>
          <w:sz w:val="20"/>
          <w:szCs w:val="20"/>
          <w:lang w:val="it-IT"/>
        </w:rPr>
        <w:t>Schemi di compensazione</w:t>
      </w:r>
      <w:r w:rsidRPr="00656794">
        <w:rPr>
          <w:rFonts w:ascii="Arial" w:hAnsi="Arial" w:cs="Arial"/>
          <w:color w:val="000000"/>
          <w:sz w:val="20"/>
          <w:szCs w:val="20"/>
          <w:lang w:val="it-IT"/>
        </w:rPr>
        <w:t xml:space="preserve">: in Irlanda non esistono schemi di compensazione specifici a livello di settore in relazione ai titolari di polizze assicurative sulla vita. La situazione è simile in Italia, senza uno schema di compensazione specifico disponibile. In quanto tale, non vi è alcun impatto sulla compensazione per nessun gruppo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a seguito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40D82591" w14:textId="6B9A87D9" w:rsidR="00E079C7" w:rsidRPr="00656794" w:rsidRDefault="00E079C7" w:rsidP="00CD0E80">
      <w:pPr>
        <w:pStyle w:val="NormalWeb"/>
        <w:numPr>
          <w:ilvl w:val="0"/>
          <w:numId w:val="21"/>
        </w:numPr>
        <w:ind w:right="102"/>
        <w:jc w:val="both"/>
        <w:rPr>
          <w:rFonts w:ascii="Arial" w:hAnsi="Arial" w:cs="Arial"/>
          <w:color w:val="000000"/>
          <w:sz w:val="20"/>
          <w:szCs w:val="20"/>
          <w:lang w:val="it-IT"/>
        </w:rPr>
      </w:pPr>
      <w:r w:rsidRPr="00656794">
        <w:rPr>
          <w:rFonts w:ascii="Arial" w:hAnsi="Arial" w:cs="Arial"/>
          <w:i/>
          <w:iCs/>
          <w:color w:val="000000"/>
          <w:sz w:val="20"/>
          <w:szCs w:val="20"/>
          <w:lang w:val="it-IT"/>
        </w:rPr>
        <w:t>Gamma di fondi</w:t>
      </w:r>
      <w:r w:rsidRPr="00656794">
        <w:rPr>
          <w:rFonts w:ascii="Arial" w:hAnsi="Arial" w:cs="Arial"/>
          <w:color w:val="000000"/>
          <w:sz w:val="20"/>
          <w:szCs w:val="20"/>
          <w:lang w:val="it-IT"/>
        </w:rPr>
        <w:t xml:space="preserve">: alcuni fondi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attualmente offerti da ZLAP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AD0F9C">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non saranno disponibili per gli </w:t>
      </w:r>
      <w:r w:rsidR="003E6507">
        <w:rPr>
          <w:rFonts w:ascii="Arial" w:hAnsi="Arial" w:cs="Arial"/>
          <w:color w:val="000000"/>
          <w:sz w:val="20"/>
          <w:szCs w:val="20"/>
          <w:lang w:val="it-IT"/>
        </w:rPr>
        <w:t xml:space="preserve">stessi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dopo il </w:t>
      </w:r>
      <w:r w:rsidR="00CE466E">
        <w:rPr>
          <w:rFonts w:ascii="Arial" w:hAnsi="Arial" w:cs="Arial"/>
          <w:color w:val="000000"/>
          <w:sz w:val="20"/>
          <w:szCs w:val="20"/>
          <w:lang w:val="it-IT"/>
        </w:rPr>
        <w:t>trasferimento</w:t>
      </w:r>
      <w:r w:rsidR="003E6507">
        <w:rPr>
          <w:rFonts w:ascii="Arial" w:hAnsi="Arial" w:cs="Arial"/>
          <w:color w:val="000000"/>
          <w:sz w:val="20"/>
          <w:szCs w:val="20"/>
          <w:lang w:val="it-IT"/>
        </w:rPr>
        <w:t xml:space="preserve"> in ZIL</w:t>
      </w:r>
      <w:r w:rsidRPr="00656794">
        <w:rPr>
          <w:rFonts w:ascii="Arial" w:hAnsi="Arial" w:cs="Arial"/>
          <w:color w:val="000000"/>
          <w:sz w:val="20"/>
          <w:szCs w:val="20"/>
          <w:lang w:val="it-IT"/>
        </w:rPr>
        <w:t xml:space="preserve">; i lavori sono in corso, anche se non completati, per disporre di fondi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sostitutivi adeguati prima del </w:t>
      </w:r>
      <w:r w:rsidR="00CE466E">
        <w:rPr>
          <w:rFonts w:ascii="Arial" w:hAnsi="Arial" w:cs="Arial"/>
          <w:color w:val="000000"/>
          <w:sz w:val="20"/>
          <w:szCs w:val="20"/>
          <w:lang w:val="it-IT"/>
        </w:rPr>
        <w:t>trasferimento</w:t>
      </w:r>
      <w:r w:rsidR="003E6507">
        <w:rPr>
          <w:rFonts w:ascii="Arial" w:hAnsi="Arial" w:cs="Arial"/>
          <w:color w:val="000000"/>
          <w:sz w:val="20"/>
          <w:szCs w:val="20"/>
          <w:lang w:val="it-IT"/>
        </w:rPr>
        <w:t xml:space="preserve"> effettivo</w:t>
      </w:r>
      <w:r w:rsidRPr="00656794">
        <w:rPr>
          <w:rFonts w:ascii="Arial" w:hAnsi="Arial" w:cs="Arial"/>
          <w:color w:val="000000"/>
          <w:sz w:val="20"/>
          <w:szCs w:val="20"/>
          <w:lang w:val="it-IT"/>
        </w:rPr>
        <w:t xml:space="preserve">. Questi fondi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sostitutivi forniranno mandati di investimento uguali o simili e prestazioni e costi in linea con le aspettative ragionevoli del contraente e i termini e le condizioni della polizza. Mi aspetto che venga concordata una risoluzione soddisfacente prima che io concluda la mia </w:t>
      </w:r>
      <w:r w:rsidR="005A36AD">
        <w:rPr>
          <w:rFonts w:ascii="Arial" w:hAnsi="Arial" w:cs="Arial"/>
          <w:color w:val="000000"/>
          <w:sz w:val="20"/>
          <w:szCs w:val="20"/>
          <w:lang w:val="it-IT"/>
        </w:rPr>
        <w:t>Relazione Integrativa</w:t>
      </w:r>
      <w:r w:rsidRPr="00656794">
        <w:rPr>
          <w:rFonts w:ascii="Arial" w:hAnsi="Arial" w:cs="Arial"/>
          <w:color w:val="000000"/>
          <w:sz w:val="20"/>
          <w:szCs w:val="20"/>
          <w:lang w:val="it-IT"/>
        </w:rPr>
        <w:t xml:space="preserve"> prima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udienza finale della Corte.</w:t>
      </w:r>
    </w:p>
    <w:p w14:paraId="6716912E" w14:textId="20D122E7" w:rsidR="00E079C7" w:rsidRPr="00656794" w:rsidRDefault="00CD0E80" w:rsidP="00CD0E80">
      <w:pPr>
        <w:pStyle w:val="NormalWeb"/>
        <w:numPr>
          <w:ilvl w:val="0"/>
          <w:numId w:val="21"/>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Ci sarà un piccolo numero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per i quali si prevede che non sarà disponibile un fondo collegato a </w:t>
      </w:r>
      <w:r w:rsidR="008A525A" w:rsidRPr="00656794">
        <w:rPr>
          <w:rFonts w:ascii="Arial" w:hAnsi="Arial" w:cs="Arial"/>
          <w:color w:val="000000"/>
          <w:sz w:val="20"/>
          <w:szCs w:val="20"/>
          <w:lang w:val="it-IT"/>
        </w:rPr>
        <w:t>unit-linked</w:t>
      </w:r>
      <w:r w:rsidR="003E6507">
        <w:rPr>
          <w:rFonts w:ascii="Arial" w:hAnsi="Arial" w:cs="Arial"/>
          <w:color w:val="000000"/>
          <w:sz w:val="20"/>
          <w:szCs w:val="20"/>
          <w:lang w:val="it-IT"/>
        </w:rPr>
        <w:t xml:space="preserve"> s</w:t>
      </w:r>
      <w:r w:rsidR="00A43F3E">
        <w:rPr>
          <w:rFonts w:ascii="Arial" w:hAnsi="Arial" w:cs="Arial"/>
          <w:color w:val="000000"/>
          <w:sz w:val="20"/>
          <w:szCs w:val="20"/>
          <w:lang w:val="it-IT"/>
        </w:rPr>
        <w:t>ostitutive</w:t>
      </w:r>
      <w:r w:rsidR="00E079C7" w:rsidRPr="00656794">
        <w:rPr>
          <w:rFonts w:ascii="Arial" w:hAnsi="Arial" w:cs="Arial"/>
          <w:color w:val="000000"/>
          <w:sz w:val="20"/>
          <w:szCs w:val="20"/>
          <w:lang w:val="it-IT"/>
        </w:rPr>
        <w:t xml:space="preserve">. Sono in corso lavori al riguardo per comunicare direttamente con questi </w:t>
      </w:r>
      <w:r w:rsidR="00DC30A5">
        <w:rPr>
          <w:rFonts w:ascii="Arial" w:hAnsi="Arial" w:cs="Arial"/>
          <w:color w:val="000000"/>
          <w:sz w:val="20"/>
          <w:szCs w:val="20"/>
          <w:lang w:val="it-IT"/>
        </w:rPr>
        <w:t>contraenti</w:t>
      </w:r>
      <w:r w:rsidR="00E079C7" w:rsidRPr="00656794">
        <w:rPr>
          <w:rFonts w:ascii="Arial" w:hAnsi="Arial" w:cs="Arial"/>
          <w:color w:val="000000"/>
          <w:sz w:val="20"/>
          <w:szCs w:val="20"/>
          <w:lang w:val="it-IT"/>
        </w:rPr>
        <w:t xml:space="preserve"> prima </w:t>
      </w:r>
      <w:r w:rsidR="00816CB9">
        <w:rPr>
          <w:rFonts w:ascii="Arial" w:hAnsi="Arial" w:cs="Arial"/>
          <w:color w:val="000000"/>
          <w:sz w:val="20"/>
          <w:szCs w:val="20"/>
          <w:lang w:val="it-IT"/>
        </w:rPr>
        <w:t>dell’</w:t>
      </w:r>
      <w:r w:rsidR="00A82666">
        <w:rPr>
          <w:rFonts w:ascii="Arial" w:hAnsi="Arial" w:cs="Arial"/>
          <w:color w:val="000000"/>
          <w:sz w:val="20"/>
          <w:szCs w:val="20"/>
          <w:lang w:val="it-IT"/>
        </w:rPr>
        <w:t>Atto di Trasferimento</w:t>
      </w:r>
      <w:r w:rsidR="00816CB9">
        <w:rPr>
          <w:rFonts w:ascii="Arial" w:hAnsi="Arial" w:cs="Arial"/>
          <w:color w:val="000000"/>
          <w:sz w:val="20"/>
          <w:szCs w:val="20"/>
          <w:lang w:val="it-IT"/>
        </w:rPr>
        <w:t xml:space="preserve"> di trasferimento,</w:t>
      </w:r>
      <w:r w:rsidR="00E079C7" w:rsidRPr="00656794">
        <w:rPr>
          <w:rFonts w:ascii="Arial" w:hAnsi="Arial" w:cs="Arial"/>
          <w:color w:val="000000"/>
          <w:sz w:val="20"/>
          <w:szCs w:val="20"/>
          <w:lang w:val="it-IT"/>
        </w:rPr>
        <w:t xml:space="preserve"> per garantire che </w:t>
      </w:r>
      <w:r w:rsidR="00816CB9">
        <w:rPr>
          <w:rFonts w:ascii="Arial" w:hAnsi="Arial" w:cs="Arial"/>
          <w:color w:val="000000"/>
          <w:sz w:val="20"/>
          <w:szCs w:val="20"/>
          <w:lang w:val="it-IT"/>
        </w:rPr>
        <w:t>gli</w:t>
      </w:r>
      <w:r w:rsidR="00E079C7" w:rsidRPr="00656794">
        <w:rPr>
          <w:rFonts w:ascii="Arial" w:hAnsi="Arial" w:cs="Arial"/>
          <w:color w:val="000000"/>
          <w:sz w:val="20"/>
          <w:szCs w:val="20"/>
          <w:lang w:val="it-IT"/>
        </w:rPr>
        <w:t xml:space="preserve"> interessi </w:t>
      </w:r>
      <w:r w:rsidR="00816CB9" w:rsidRPr="00656794">
        <w:rPr>
          <w:rFonts w:ascii="Arial" w:hAnsi="Arial" w:cs="Arial"/>
          <w:color w:val="000000"/>
          <w:sz w:val="20"/>
          <w:szCs w:val="20"/>
          <w:lang w:val="it-IT"/>
        </w:rPr>
        <w:t>de</w:t>
      </w:r>
      <w:r w:rsidR="00816CB9">
        <w:rPr>
          <w:rFonts w:ascii="Arial" w:hAnsi="Arial" w:cs="Arial"/>
          <w:color w:val="000000"/>
          <w:sz w:val="20"/>
          <w:szCs w:val="20"/>
          <w:lang w:val="it-IT"/>
        </w:rPr>
        <w:t>i loro</w:t>
      </w:r>
      <w:r w:rsidR="00816CB9"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E079C7" w:rsidRPr="00656794">
        <w:rPr>
          <w:rFonts w:ascii="Arial" w:hAnsi="Arial" w:cs="Arial"/>
          <w:color w:val="000000"/>
          <w:sz w:val="20"/>
          <w:szCs w:val="20"/>
          <w:lang w:val="it-IT"/>
        </w:rPr>
        <w:t xml:space="preserve"> continuino a</w:t>
      </w:r>
      <w:r w:rsidR="00816CB9">
        <w:rPr>
          <w:rFonts w:ascii="Arial" w:hAnsi="Arial" w:cs="Arial"/>
          <w:color w:val="000000"/>
          <w:sz w:val="20"/>
          <w:szCs w:val="20"/>
          <w:lang w:val="it-IT"/>
        </w:rPr>
        <w:t>d</w:t>
      </w:r>
      <w:r w:rsidR="00E079C7" w:rsidRPr="00656794">
        <w:rPr>
          <w:rFonts w:ascii="Arial" w:hAnsi="Arial" w:cs="Arial"/>
          <w:color w:val="000000"/>
          <w:sz w:val="20"/>
          <w:szCs w:val="20"/>
          <w:lang w:val="it-IT"/>
        </w:rPr>
        <w:t xml:space="preserve"> essere soddisfatti con scelte di investimento adeguate. Mi aspetto che venga concordata una risoluzione soddisfacente prima che io concluda la mia </w:t>
      </w:r>
      <w:r w:rsidR="005A36AD">
        <w:rPr>
          <w:rFonts w:ascii="Arial" w:hAnsi="Arial" w:cs="Arial"/>
          <w:color w:val="000000"/>
          <w:sz w:val="20"/>
          <w:szCs w:val="20"/>
          <w:lang w:val="it-IT"/>
        </w:rPr>
        <w:t>Relazione Integrativa</w:t>
      </w:r>
      <w:r w:rsidR="00E079C7" w:rsidRPr="00656794">
        <w:rPr>
          <w:rFonts w:ascii="Arial" w:hAnsi="Arial" w:cs="Arial"/>
          <w:color w:val="000000"/>
          <w:sz w:val="20"/>
          <w:szCs w:val="20"/>
          <w:lang w:val="it-IT"/>
        </w:rPr>
        <w:t xml:space="preserve"> prima dell</w:t>
      </w:r>
      <w:r w:rsidR="00F23A40" w:rsidRPr="00656794">
        <w:rPr>
          <w:rFonts w:ascii="Arial" w:hAnsi="Arial" w:cs="Arial"/>
          <w:color w:val="000000"/>
          <w:sz w:val="20"/>
          <w:szCs w:val="20"/>
          <w:lang w:val="it-IT"/>
        </w:rPr>
        <w:t>’</w:t>
      </w:r>
      <w:r w:rsidR="00E079C7" w:rsidRPr="00656794">
        <w:rPr>
          <w:rFonts w:ascii="Arial" w:hAnsi="Arial" w:cs="Arial"/>
          <w:color w:val="000000"/>
          <w:sz w:val="20"/>
          <w:szCs w:val="20"/>
          <w:lang w:val="it-IT"/>
        </w:rPr>
        <w:t>udienza finale della Corte.</w:t>
      </w:r>
    </w:p>
    <w:p w14:paraId="67CC8B51" w14:textId="5C590188" w:rsidR="00E079C7" w:rsidRPr="00656794" w:rsidRDefault="00E079C7" w:rsidP="00CD0E80">
      <w:pPr>
        <w:pStyle w:val="NormalWeb"/>
        <w:numPr>
          <w:ilvl w:val="0"/>
          <w:numId w:val="21"/>
        </w:numPr>
        <w:ind w:right="102"/>
        <w:jc w:val="both"/>
        <w:rPr>
          <w:rFonts w:ascii="Arial" w:hAnsi="Arial" w:cs="Arial"/>
          <w:color w:val="000000"/>
          <w:sz w:val="20"/>
          <w:szCs w:val="20"/>
          <w:lang w:val="it-IT"/>
        </w:rPr>
      </w:pPr>
      <w:r w:rsidRPr="00656794">
        <w:rPr>
          <w:rFonts w:ascii="Arial" w:hAnsi="Arial" w:cs="Arial"/>
          <w:i/>
          <w:iCs/>
          <w:color w:val="000000"/>
          <w:sz w:val="20"/>
          <w:szCs w:val="20"/>
          <w:lang w:val="it-IT"/>
        </w:rPr>
        <w:t>Diritto alle prestazioni</w:t>
      </w:r>
      <w:r w:rsidRPr="00656794">
        <w:rPr>
          <w:rFonts w:ascii="Arial" w:hAnsi="Arial" w:cs="Arial"/>
          <w:color w:val="000000"/>
          <w:sz w:val="20"/>
          <w:szCs w:val="20"/>
          <w:lang w:val="it-IT"/>
        </w:rPr>
        <w:t>: le pratiche esistenti in materia di riscatto, scadenza, trasferimento o decesso rimarranno in vigore dopo il trasferimento. I reclami che sono risolti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del normale svolgimento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attività saranno trattati allo stesso modo dopo il trasferimento. Pertanto, a mio avviso,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attuazione </w:t>
      </w:r>
      <w:r w:rsidR="00A43F3E">
        <w:rPr>
          <w:rFonts w:ascii="Arial" w:hAnsi="Arial" w:cs="Arial"/>
          <w:color w:val="000000"/>
          <w:sz w:val="20"/>
          <w:szCs w:val="20"/>
          <w:lang w:val="it-IT"/>
        </w:rPr>
        <w:t>dell’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avrà un effetto negativo sul trattamento equo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a questo riguardo.</w:t>
      </w:r>
    </w:p>
    <w:p w14:paraId="2D099B10" w14:textId="406ADC19" w:rsidR="00E079C7" w:rsidRPr="00656794" w:rsidRDefault="0094302E" w:rsidP="00CD0E80">
      <w:pPr>
        <w:pStyle w:val="NormalWeb"/>
        <w:numPr>
          <w:ilvl w:val="0"/>
          <w:numId w:val="21"/>
        </w:numPr>
        <w:ind w:right="102"/>
        <w:jc w:val="both"/>
        <w:rPr>
          <w:rFonts w:ascii="Arial" w:hAnsi="Arial" w:cs="Arial"/>
          <w:color w:val="000000"/>
          <w:sz w:val="20"/>
          <w:szCs w:val="20"/>
          <w:lang w:val="it-IT"/>
        </w:rPr>
      </w:pPr>
      <w:r>
        <w:rPr>
          <w:rFonts w:ascii="Arial" w:hAnsi="Arial" w:cs="Arial"/>
          <w:i/>
          <w:iCs/>
          <w:color w:val="000000"/>
          <w:sz w:val="20"/>
          <w:szCs w:val="20"/>
          <w:lang w:val="it-IT"/>
        </w:rPr>
        <w:t>Condizioni contrattuali</w:t>
      </w:r>
      <w:r w:rsidR="00E079C7" w:rsidRPr="00656794">
        <w:rPr>
          <w:rFonts w:ascii="Arial" w:hAnsi="Arial" w:cs="Arial"/>
          <w:i/>
          <w:iCs/>
          <w:color w:val="000000"/>
          <w:sz w:val="20"/>
          <w:szCs w:val="20"/>
          <w:lang w:val="it-IT"/>
        </w:rPr>
        <w:t xml:space="preserve"> di polizza</w:t>
      </w:r>
      <w:r w:rsidR="00E079C7" w:rsidRPr="00656794">
        <w:rPr>
          <w:rFonts w:ascii="Arial" w:hAnsi="Arial" w:cs="Arial"/>
          <w:color w:val="000000"/>
          <w:sz w:val="20"/>
          <w:szCs w:val="20"/>
          <w:lang w:val="it-IT"/>
        </w:rPr>
        <w:t xml:space="preserve">: </w:t>
      </w:r>
      <w:r>
        <w:rPr>
          <w:rFonts w:ascii="Arial" w:hAnsi="Arial" w:cs="Arial"/>
          <w:color w:val="000000"/>
          <w:sz w:val="20"/>
          <w:szCs w:val="20"/>
          <w:lang w:val="it-IT"/>
        </w:rPr>
        <w:t>le condizioni contrattuali</w:t>
      </w:r>
      <w:r w:rsidR="00E079C7" w:rsidRPr="00656794">
        <w:rPr>
          <w:rFonts w:ascii="Arial" w:hAnsi="Arial" w:cs="Arial"/>
          <w:color w:val="000000"/>
          <w:sz w:val="20"/>
          <w:szCs w:val="20"/>
          <w:lang w:val="it-IT"/>
        </w:rPr>
        <w:t xml:space="preserve"> di polizza rimarranno invariati per effetto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E079C7" w:rsidRPr="00656794">
        <w:rPr>
          <w:rFonts w:ascii="Arial" w:hAnsi="Arial" w:cs="Arial"/>
          <w:color w:val="000000"/>
          <w:sz w:val="20"/>
          <w:szCs w:val="20"/>
          <w:lang w:val="it-IT"/>
        </w:rPr>
        <w:t xml:space="preserve"> per tutti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E079C7" w:rsidRPr="00656794">
        <w:rPr>
          <w:rFonts w:ascii="Arial" w:hAnsi="Arial" w:cs="Arial"/>
          <w:color w:val="000000"/>
          <w:sz w:val="20"/>
          <w:szCs w:val="20"/>
          <w:lang w:val="it-IT"/>
        </w:rPr>
        <w:t xml:space="preserve">. Non ho problemi da </w:t>
      </w:r>
      <w:r w:rsidR="009B1649">
        <w:rPr>
          <w:rFonts w:ascii="Arial" w:hAnsi="Arial" w:cs="Arial"/>
          <w:color w:val="000000"/>
          <w:sz w:val="20"/>
          <w:szCs w:val="20"/>
          <w:lang w:val="it-IT"/>
        </w:rPr>
        <w:t>segnalar</w:t>
      </w:r>
      <w:r w:rsidR="00E079C7" w:rsidRPr="00656794">
        <w:rPr>
          <w:rFonts w:ascii="Arial" w:hAnsi="Arial" w:cs="Arial"/>
          <w:color w:val="000000"/>
          <w:sz w:val="20"/>
          <w:szCs w:val="20"/>
          <w:lang w:val="it-IT"/>
        </w:rPr>
        <w:t>e</w:t>
      </w:r>
      <w:r w:rsidR="00B30131">
        <w:rPr>
          <w:rFonts w:ascii="Arial" w:hAnsi="Arial" w:cs="Arial"/>
          <w:color w:val="000000"/>
          <w:sz w:val="20"/>
          <w:szCs w:val="20"/>
          <w:lang w:val="it-IT"/>
        </w:rPr>
        <w:t xml:space="preserve"> in questa sede</w:t>
      </w:r>
      <w:r w:rsidR="00E079C7" w:rsidRPr="00656794">
        <w:rPr>
          <w:rFonts w:ascii="Arial" w:hAnsi="Arial" w:cs="Arial"/>
          <w:color w:val="000000"/>
          <w:sz w:val="20"/>
          <w:szCs w:val="20"/>
          <w:lang w:val="it-IT"/>
        </w:rPr>
        <w:t>.</w:t>
      </w:r>
    </w:p>
    <w:p w14:paraId="648E7938" w14:textId="27EEC1F1" w:rsidR="00E079C7" w:rsidRPr="00656794" w:rsidRDefault="00E079C7" w:rsidP="001D2BA3">
      <w:pPr>
        <w:pStyle w:val="NormalWeb"/>
        <w:ind w:left="360" w:right="102"/>
        <w:jc w:val="both"/>
        <w:rPr>
          <w:rFonts w:ascii="Arial" w:hAnsi="Arial" w:cs="Arial"/>
          <w:color w:val="000000"/>
          <w:sz w:val="20"/>
          <w:szCs w:val="20"/>
          <w:lang w:val="it-IT"/>
        </w:rPr>
      </w:pPr>
      <w:r w:rsidRPr="00656794">
        <w:rPr>
          <w:rFonts w:ascii="Arial" w:hAnsi="Arial" w:cs="Arial"/>
          <w:color w:val="000000"/>
          <w:sz w:val="20"/>
          <w:szCs w:val="20"/>
          <w:lang w:val="it-IT"/>
        </w:rPr>
        <w:t>Per completezza, prendo atto che saranno necessarie modifiche ad alcun</w:t>
      </w:r>
      <w:r w:rsidR="0094302E">
        <w:rPr>
          <w:rFonts w:ascii="Arial" w:hAnsi="Arial" w:cs="Arial"/>
          <w:color w:val="000000"/>
          <w:sz w:val="20"/>
          <w:szCs w:val="20"/>
          <w:lang w:val="it-IT"/>
        </w:rPr>
        <w:t>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relativ</w:t>
      </w:r>
      <w:r w:rsidR="0094302E">
        <w:rPr>
          <w:rFonts w:ascii="Arial" w:hAnsi="Arial" w:cs="Arial"/>
          <w:color w:val="000000"/>
          <w:sz w:val="20"/>
          <w:szCs w:val="20"/>
          <w:lang w:val="it-IT"/>
        </w:rPr>
        <w:t>e</w:t>
      </w:r>
      <w:r w:rsidRPr="00656794">
        <w:rPr>
          <w:rFonts w:ascii="Arial" w:hAnsi="Arial" w:cs="Arial"/>
          <w:color w:val="000000"/>
          <w:sz w:val="20"/>
          <w:szCs w:val="20"/>
          <w:lang w:val="it-IT"/>
        </w:rPr>
        <w:t xml:space="preserve"> a una predeterminata gamma di prodotti per renderli compatibili con la normativa italiana locale. Ciò avverrà nei prossimi mesi ma prima del trasferimento del portafoglio e non fa parte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formale. La classificazione dei fondi delle quote ne</w:t>
      </w:r>
      <w:r w:rsidR="0094302E">
        <w:rPr>
          <w:rFonts w:ascii="Arial" w:hAnsi="Arial" w:cs="Arial"/>
          <w:color w:val="000000"/>
          <w:sz w:val="20"/>
          <w:szCs w:val="20"/>
          <w:lang w:val="it-IT"/>
        </w:rPr>
        <w:t>lle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cambierà da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fondi interni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fondi esterni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Il meccanismo per prelevare gli addebiti verrà modificato dal prezzo unitario alla detrazione unitaria. ZLAP ridurrà la sua commissione di gestione come parte di questo cambiamento.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riceveranno 2 mesi di preavviso e </w:t>
      </w:r>
      <w:r w:rsidR="000640ED">
        <w:rPr>
          <w:rFonts w:ascii="Arial" w:hAnsi="Arial" w:cs="Arial"/>
          <w:color w:val="000000"/>
          <w:sz w:val="20"/>
          <w:szCs w:val="20"/>
          <w:lang w:val="it-IT"/>
        </w:rPr>
        <w:t>il contraente</w:t>
      </w:r>
      <w:r w:rsidRPr="00656794">
        <w:rPr>
          <w:rFonts w:ascii="Arial" w:hAnsi="Arial" w:cs="Arial"/>
          <w:color w:val="000000"/>
          <w:sz w:val="20"/>
          <w:szCs w:val="20"/>
          <w:lang w:val="it-IT"/>
        </w:rPr>
        <w:t xml:space="preserve"> avrà anche la possibilità di recedere dal contratto senza penali.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si troveranno in una posizione migliore dopo questo cambiamento in quanto avranno oneri inferiori. Non vi sarà alcun impatto economico per </w:t>
      </w:r>
      <w:r w:rsidR="000640ED">
        <w:rPr>
          <w:rFonts w:ascii="Arial" w:hAnsi="Arial" w:cs="Arial"/>
          <w:color w:val="000000"/>
          <w:sz w:val="20"/>
          <w:szCs w:val="20"/>
          <w:lang w:val="it-IT"/>
        </w:rPr>
        <w:t>il contraente</w:t>
      </w:r>
      <w:r w:rsidRPr="00656794">
        <w:rPr>
          <w:rFonts w:ascii="Arial" w:hAnsi="Arial" w:cs="Arial"/>
          <w:color w:val="000000"/>
          <w:sz w:val="20"/>
          <w:szCs w:val="20"/>
          <w:lang w:val="it-IT"/>
        </w:rPr>
        <w:t xml:space="preserve"> e le modifiche previste sono di natura puramente tecnica. Prendo atto che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saranno informati in merito.</w:t>
      </w:r>
    </w:p>
    <w:p w14:paraId="48CD5354" w14:textId="153EC38E" w:rsidR="00E079C7" w:rsidRPr="00656794" w:rsidRDefault="00E079C7" w:rsidP="00CD0E80">
      <w:pPr>
        <w:pStyle w:val="NormalWeb"/>
        <w:numPr>
          <w:ilvl w:val="0"/>
          <w:numId w:val="21"/>
        </w:numPr>
        <w:ind w:right="102"/>
        <w:jc w:val="both"/>
        <w:rPr>
          <w:rFonts w:ascii="Arial" w:hAnsi="Arial" w:cs="Arial"/>
          <w:color w:val="000000"/>
          <w:sz w:val="20"/>
          <w:szCs w:val="20"/>
          <w:lang w:val="it-IT"/>
        </w:rPr>
      </w:pPr>
      <w:r w:rsidRPr="00656794">
        <w:rPr>
          <w:rFonts w:ascii="Arial" w:hAnsi="Arial" w:cs="Arial"/>
          <w:i/>
          <w:iCs/>
          <w:color w:val="000000"/>
          <w:sz w:val="20"/>
          <w:szCs w:val="20"/>
          <w:lang w:val="it-IT"/>
        </w:rPr>
        <w:t>Oneri</w:t>
      </w:r>
      <w:r w:rsidRPr="00656794">
        <w:rPr>
          <w:rFonts w:ascii="Arial" w:hAnsi="Arial" w:cs="Arial"/>
          <w:color w:val="000000"/>
          <w:sz w:val="20"/>
          <w:szCs w:val="20"/>
          <w:lang w:val="it-IT"/>
        </w:rPr>
        <w:t>: Questi rimarranno invariati come conseguenza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per tutti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(tenendo conto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nel punto precedente della modifica de</w:t>
      </w:r>
      <w:r w:rsidR="0094302E">
        <w:rPr>
          <w:rFonts w:ascii="Arial" w:hAnsi="Arial" w:cs="Arial"/>
          <w:color w:val="000000"/>
          <w:sz w:val="20"/>
          <w:szCs w:val="20"/>
          <w:lang w:val="it-IT"/>
        </w:rPr>
        <w:t>lle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Nel complesso, non ho problemi da segnalare.</w:t>
      </w:r>
    </w:p>
    <w:p w14:paraId="08028C45" w14:textId="2CC2B61B" w:rsidR="00E079C7" w:rsidRPr="00656794" w:rsidRDefault="00E079C7" w:rsidP="00CD0E80">
      <w:pPr>
        <w:pStyle w:val="NormalWeb"/>
        <w:numPr>
          <w:ilvl w:val="0"/>
          <w:numId w:val="21"/>
        </w:numPr>
        <w:ind w:right="102"/>
        <w:jc w:val="both"/>
        <w:rPr>
          <w:rFonts w:ascii="Arial" w:hAnsi="Arial" w:cs="Arial"/>
          <w:color w:val="000000"/>
          <w:sz w:val="20"/>
          <w:szCs w:val="20"/>
          <w:lang w:val="it-IT"/>
        </w:rPr>
      </w:pPr>
      <w:r w:rsidRPr="00656794">
        <w:rPr>
          <w:rFonts w:ascii="Arial" w:hAnsi="Arial" w:cs="Arial"/>
          <w:i/>
          <w:iCs/>
          <w:color w:val="000000"/>
          <w:sz w:val="20"/>
          <w:szCs w:val="20"/>
          <w:lang w:val="it-IT"/>
        </w:rPr>
        <w:t>Costi del</w:t>
      </w:r>
      <w:r w:rsidR="00867942">
        <w:rPr>
          <w:rFonts w:ascii="Arial" w:hAnsi="Arial" w:cs="Arial"/>
          <w:i/>
          <w:iCs/>
          <w:color w:val="000000"/>
          <w:sz w:val="20"/>
          <w:szCs w:val="20"/>
          <w:lang w:val="it-IT"/>
        </w:rPr>
        <w:t>l’</w:t>
      </w:r>
      <w:r w:rsidR="00AE4256">
        <w:rPr>
          <w:rFonts w:ascii="Arial" w:hAnsi="Arial" w:cs="Arial"/>
          <w:i/>
          <w:iCs/>
          <w:color w:val="000000"/>
          <w:sz w:val="20"/>
          <w:szCs w:val="20"/>
          <w:lang w:val="it-IT"/>
        </w:rPr>
        <w:t>Atto di Trasferimento</w:t>
      </w:r>
      <w:r w:rsidRPr="00656794">
        <w:rPr>
          <w:rFonts w:ascii="Arial" w:hAnsi="Arial" w:cs="Arial"/>
          <w:i/>
          <w:iCs/>
          <w:color w:val="000000"/>
          <w:sz w:val="20"/>
          <w:szCs w:val="20"/>
          <w:lang w:val="it-IT"/>
        </w:rPr>
        <w:t>:</w:t>
      </w:r>
      <w:r w:rsidRPr="00656794">
        <w:rPr>
          <w:rFonts w:ascii="Arial" w:hAnsi="Arial" w:cs="Arial"/>
          <w:color w:val="000000"/>
          <w:sz w:val="20"/>
          <w:szCs w:val="20"/>
          <w:lang w:val="it-IT"/>
        </w:rPr>
        <w:t xml:space="preserve"> tutti i costi associati al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saranno a carico degli azionisti di ZLAP e ZIL. Nessun costo sarà a carico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Pertanto, a mio avviso,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attuazione del </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avrà un effetto negativo sul trattamento equo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a questo riguardo. Non ho problemi da </w:t>
      </w:r>
      <w:r w:rsidR="00DA1CEB">
        <w:rPr>
          <w:rFonts w:ascii="Arial" w:hAnsi="Arial" w:cs="Arial"/>
          <w:color w:val="000000"/>
          <w:sz w:val="20"/>
          <w:szCs w:val="20"/>
          <w:lang w:val="it-IT"/>
        </w:rPr>
        <w:t>segnal</w:t>
      </w:r>
      <w:r w:rsidRPr="00656794">
        <w:rPr>
          <w:rFonts w:ascii="Arial" w:hAnsi="Arial" w:cs="Arial"/>
          <w:color w:val="000000"/>
          <w:sz w:val="20"/>
          <w:szCs w:val="20"/>
          <w:lang w:val="it-IT"/>
        </w:rPr>
        <w:t>are.</w:t>
      </w:r>
    </w:p>
    <w:p w14:paraId="64CBE2DE" w14:textId="374AA704" w:rsidR="00E079C7" w:rsidRPr="00656794" w:rsidRDefault="00E079C7" w:rsidP="00CD0E80">
      <w:pPr>
        <w:pStyle w:val="NormalWeb"/>
        <w:numPr>
          <w:ilvl w:val="0"/>
          <w:numId w:val="21"/>
        </w:numPr>
        <w:ind w:right="102"/>
        <w:jc w:val="both"/>
        <w:rPr>
          <w:rFonts w:ascii="Arial" w:hAnsi="Arial" w:cs="Arial"/>
          <w:color w:val="000000"/>
          <w:sz w:val="20"/>
          <w:szCs w:val="20"/>
          <w:lang w:val="it-IT"/>
        </w:rPr>
      </w:pPr>
      <w:r w:rsidRPr="00656794">
        <w:rPr>
          <w:rFonts w:ascii="Arial" w:hAnsi="Arial" w:cs="Arial"/>
          <w:i/>
          <w:iCs/>
          <w:color w:val="000000"/>
          <w:sz w:val="20"/>
          <w:szCs w:val="20"/>
          <w:lang w:val="it-IT"/>
        </w:rPr>
        <w:t>Discrezionalità</w:t>
      </w:r>
      <w:r w:rsidRPr="00656794">
        <w:rPr>
          <w:rFonts w:ascii="Arial" w:hAnsi="Arial" w:cs="Arial"/>
          <w:color w:val="000000"/>
          <w:sz w:val="20"/>
          <w:szCs w:val="20"/>
          <w:lang w:val="it-IT"/>
        </w:rPr>
        <w:t xml:space="preserve">: la gestione delle polizze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ha una capacità limitata di applicare discrezionalità come oneri riscossi e benefici forniti come stabilito ne</w:t>
      </w:r>
      <w:r w:rsidR="0094302E">
        <w:rPr>
          <w:rFonts w:ascii="Arial" w:hAnsi="Arial" w:cs="Arial"/>
          <w:color w:val="000000"/>
          <w:sz w:val="20"/>
          <w:szCs w:val="20"/>
          <w:lang w:val="it-IT"/>
        </w:rPr>
        <w:t>lle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del contraente. Le scelte di fondo offerte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approccio al prezzo unitario consentono una certa discrezionalità, ma ZIL si adopererà per mantenere le strutture e gli approcci esistenti. ZLAP ha esposto la propria interpretazione delle aspettative ragionevoli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in relazione al </w:t>
      </w:r>
      <w:r w:rsidR="00D20690">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trasferito e, sebbene il concetto non esista in ZIL, ha riconosciuto i principi e si è impegnato a continuare a utilizzare tali principi nella gestione del </w:t>
      </w:r>
      <w:r w:rsidR="00D20690">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in </w:t>
      </w:r>
      <w:r w:rsidRPr="00656794">
        <w:rPr>
          <w:rFonts w:ascii="Arial" w:hAnsi="Arial" w:cs="Arial"/>
          <w:color w:val="000000"/>
          <w:sz w:val="20"/>
          <w:szCs w:val="20"/>
          <w:lang w:val="it-IT"/>
        </w:rPr>
        <w:lastRenderedPageBreak/>
        <w:t xml:space="preserve">futuro. Pertanto, non emergono problemi di cui sono a conoscenza che possano avere un impatto negativo </w:t>
      </w:r>
      <w:r w:rsidR="00DC30A5">
        <w:rPr>
          <w:rFonts w:ascii="Arial" w:hAnsi="Arial" w:cs="Arial"/>
          <w:color w:val="000000"/>
          <w:sz w:val="20"/>
          <w:szCs w:val="20"/>
          <w:lang w:val="it-IT"/>
        </w:rPr>
        <w:t>sui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w:t>
      </w:r>
    </w:p>
    <w:p w14:paraId="7CCB5A80" w14:textId="2DE5707D" w:rsidR="00E079C7" w:rsidRPr="00656794" w:rsidRDefault="00E079C7" w:rsidP="00CD0E80">
      <w:pPr>
        <w:pStyle w:val="NormalWeb"/>
        <w:numPr>
          <w:ilvl w:val="0"/>
          <w:numId w:val="21"/>
        </w:numPr>
        <w:ind w:right="102"/>
        <w:jc w:val="both"/>
        <w:rPr>
          <w:rFonts w:ascii="Arial" w:hAnsi="Arial" w:cs="Arial"/>
          <w:color w:val="000000"/>
          <w:sz w:val="20"/>
          <w:szCs w:val="20"/>
          <w:lang w:val="it-IT"/>
        </w:rPr>
      </w:pPr>
      <w:r w:rsidRPr="00656794">
        <w:rPr>
          <w:rFonts w:ascii="Arial" w:hAnsi="Arial" w:cs="Arial"/>
          <w:i/>
          <w:iCs/>
          <w:color w:val="000000"/>
          <w:sz w:val="20"/>
          <w:szCs w:val="20"/>
          <w:lang w:val="it-IT"/>
        </w:rPr>
        <w:t>Reclami e ricorsi</w:t>
      </w:r>
      <w:r w:rsidRPr="00656794">
        <w:rPr>
          <w:rFonts w:ascii="Arial" w:hAnsi="Arial" w:cs="Arial"/>
          <w:color w:val="000000"/>
          <w:sz w:val="20"/>
          <w:szCs w:val="20"/>
          <w:lang w:val="it-IT"/>
        </w:rPr>
        <w:t>: prendo atto che le procedure di trattamento dei reclami adottate da entrambe le entità al momento sono ben allineate. Per effetto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vi sono modifiche alla procedura di reclamo. Qualora </w:t>
      </w:r>
      <w:r w:rsidR="000640ED">
        <w:rPr>
          <w:rFonts w:ascii="Arial" w:hAnsi="Arial" w:cs="Arial"/>
          <w:color w:val="000000"/>
          <w:sz w:val="20"/>
          <w:szCs w:val="20"/>
          <w:lang w:val="it-IT"/>
        </w:rPr>
        <w:t>il contraente</w:t>
      </w:r>
      <w:r w:rsidRPr="00656794">
        <w:rPr>
          <w:rFonts w:ascii="Arial" w:hAnsi="Arial" w:cs="Arial"/>
          <w:color w:val="000000"/>
          <w:sz w:val="20"/>
          <w:szCs w:val="20"/>
          <w:lang w:val="it-IT"/>
        </w:rPr>
        <w:t xml:space="preserve"> non sia soddisfatto, ha la possibilità di inoltrare il reclamo direttamente alla compagnia di assicurazione o direttamente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o alla COVIP (la Commissione di vigilanza sui fondi pensione in Italia). Non vi sarà alcun cambiamento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alla gestione dei reclami a seguito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per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Non ho problemi da segnalare.</w:t>
      </w:r>
    </w:p>
    <w:p w14:paraId="205BEA5F" w14:textId="37D7D649"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Prendo atto che </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ha alcun impatto in generale sulle aspettative e sul trattamento equo degli altri gruppi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vale a dire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FC47F7">
        <w:rPr>
          <w:rFonts w:ascii="Arial" w:hAnsi="Arial" w:cs="Arial"/>
          <w:color w:val="000000"/>
          <w:sz w:val="20"/>
          <w:szCs w:val="20"/>
          <w:lang w:val="it-IT"/>
        </w:rPr>
        <w:t xml:space="preserve">rimanenti di </w:t>
      </w:r>
      <w:r w:rsidRPr="00656794">
        <w:rPr>
          <w:rFonts w:ascii="Arial" w:hAnsi="Arial" w:cs="Arial"/>
          <w:color w:val="000000"/>
          <w:sz w:val="20"/>
          <w:szCs w:val="20"/>
          <w:lang w:val="it-IT"/>
        </w:rPr>
        <w:t xml:space="preserve">ZLAP 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FC47F7">
        <w:rPr>
          <w:rFonts w:ascii="Arial" w:hAnsi="Arial" w:cs="Arial"/>
          <w:color w:val="000000"/>
          <w:sz w:val="20"/>
          <w:szCs w:val="20"/>
          <w:lang w:val="it-IT"/>
        </w:rPr>
        <w:t xml:space="preserve">esistenti di </w:t>
      </w:r>
      <w:r w:rsidRPr="00656794">
        <w:rPr>
          <w:rFonts w:ascii="Arial" w:hAnsi="Arial" w:cs="Arial"/>
          <w:color w:val="000000"/>
          <w:sz w:val="20"/>
          <w:szCs w:val="20"/>
          <w:lang w:val="it-IT"/>
        </w:rPr>
        <w:t>ZIL.</w:t>
      </w:r>
    </w:p>
    <w:p w14:paraId="013AFA62" w14:textId="1368E531"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Ritengo pertanto che </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influisca sulle giuste aspettative di tutti i gruppi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w:t>
      </w:r>
    </w:p>
    <w:p w14:paraId="4EA43A19" w14:textId="73856BF0" w:rsidR="00E079C7" w:rsidRPr="00656794" w:rsidRDefault="00E079C7" w:rsidP="00E079C7">
      <w:pPr>
        <w:pStyle w:val="NormalWeb"/>
        <w:ind w:right="102"/>
        <w:jc w:val="both"/>
        <w:rPr>
          <w:rFonts w:ascii="Arial" w:hAnsi="Arial" w:cs="Arial"/>
          <w:color w:val="00338D"/>
          <w:lang w:val="it-IT"/>
        </w:rPr>
      </w:pPr>
      <w:r w:rsidRPr="00656794">
        <w:rPr>
          <w:rFonts w:ascii="Arial" w:hAnsi="Arial" w:cs="Arial"/>
          <w:color w:val="00338D"/>
          <w:lang w:val="it-IT"/>
        </w:rPr>
        <w:t xml:space="preserve">2.1.6 Comunicazioni </w:t>
      </w:r>
      <w:r w:rsidR="00DC30A5">
        <w:rPr>
          <w:rFonts w:ascii="Arial" w:hAnsi="Arial" w:cs="Arial"/>
          <w:color w:val="00338D"/>
          <w:lang w:val="it-IT"/>
        </w:rPr>
        <w:t>ai</w:t>
      </w:r>
      <w:r w:rsidR="00DC30A5" w:rsidRPr="00656794">
        <w:rPr>
          <w:rFonts w:ascii="Arial" w:hAnsi="Arial" w:cs="Arial"/>
          <w:color w:val="00338D"/>
          <w:lang w:val="it-IT"/>
        </w:rPr>
        <w:t xml:space="preserve"> </w:t>
      </w:r>
      <w:r w:rsidR="00DC30A5">
        <w:rPr>
          <w:rFonts w:ascii="Arial" w:hAnsi="Arial" w:cs="Arial"/>
          <w:color w:val="00338D"/>
          <w:lang w:val="it-IT"/>
        </w:rPr>
        <w:t>contraenti</w:t>
      </w:r>
    </w:p>
    <w:p w14:paraId="0D55A947" w14:textId="0867BB51"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In termini di comunicazioni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la Sezione 13 della Legge del 1909 richiede che, a meno che la Corte non disponga diversamente (e capisco che ZLAP e ZIL chiederanno la dispensa </w:t>
      </w:r>
      <w:r w:rsidR="001A6FE8">
        <w:rPr>
          <w:rFonts w:ascii="Arial" w:hAnsi="Arial" w:cs="Arial"/>
          <w:color w:val="000000"/>
          <w:sz w:val="20"/>
          <w:szCs w:val="20"/>
          <w:lang w:val="it-IT"/>
        </w:rPr>
        <w:t>della High</w:t>
      </w:r>
      <w:r w:rsidR="00B9172D">
        <w:rPr>
          <w:rFonts w:ascii="Arial" w:hAnsi="Arial" w:cs="Arial"/>
          <w:color w:val="000000"/>
          <w:sz w:val="20"/>
          <w:szCs w:val="20"/>
          <w:lang w:val="it-IT"/>
        </w:rPr>
        <w:t xml:space="preserve"> Court of Ireland</w:t>
      </w:r>
      <w:r w:rsidRPr="00656794">
        <w:rPr>
          <w:rFonts w:ascii="Arial" w:hAnsi="Arial" w:cs="Arial"/>
          <w:color w:val="000000"/>
          <w:sz w:val="20"/>
          <w:szCs w:val="20"/>
          <w:lang w:val="it-IT"/>
        </w:rPr>
        <w:t xml:space="preserve"> da questo requisito), determinati materiali devono essere trasmessi a ciascun </w:t>
      </w:r>
      <w:r w:rsidR="000640ED">
        <w:rPr>
          <w:rFonts w:ascii="Arial" w:hAnsi="Arial" w:cs="Arial"/>
          <w:color w:val="000000"/>
          <w:sz w:val="20"/>
          <w:szCs w:val="20"/>
          <w:lang w:val="it-IT"/>
        </w:rPr>
        <w:t>contraente</w:t>
      </w:r>
      <w:r w:rsidRPr="00656794">
        <w:rPr>
          <w:rFonts w:ascii="Arial" w:hAnsi="Arial" w:cs="Arial"/>
          <w:color w:val="000000"/>
          <w:sz w:val="20"/>
          <w:szCs w:val="20"/>
          <w:lang w:val="it-IT"/>
        </w:rPr>
        <w:t>. Faccio notare che:</w:t>
      </w:r>
    </w:p>
    <w:p w14:paraId="2A4BBFB8" w14:textId="4D513F76"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ZLAP italiane </w:t>
      </w:r>
      <w:r w:rsidR="00BE431C">
        <w:rPr>
          <w:rFonts w:ascii="Arial" w:hAnsi="Arial" w:cs="Arial"/>
          <w:color w:val="000000"/>
          <w:sz w:val="20"/>
          <w:szCs w:val="20"/>
          <w:lang w:val="it-IT"/>
        </w:rPr>
        <w:t>oggetto di trasferimento</w:t>
      </w:r>
      <w:r w:rsidRPr="00656794">
        <w:rPr>
          <w:rFonts w:ascii="Arial" w:hAnsi="Arial" w:cs="Arial"/>
          <w:color w:val="000000"/>
          <w:sz w:val="20"/>
          <w:szCs w:val="20"/>
          <w:lang w:val="it-IT"/>
        </w:rPr>
        <w:t xml:space="preserve"> sarà inviata una circolare (comprendente una lettera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amministratore delegato di ZLAP, un riepilogo dei termini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una versione sintetica del</w:t>
      </w:r>
      <w:r w:rsidR="00BE431C">
        <w:rPr>
          <w:rFonts w:ascii="Arial" w:hAnsi="Arial" w:cs="Arial"/>
          <w:color w:val="000000"/>
          <w:sz w:val="20"/>
          <w:szCs w:val="20"/>
          <w:lang w:val="it-IT"/>
        </w:rPr>
        <w:t>la</w:t>
      </w:r>
      <w:r w:rsidRPr="00656794">
        <w:rPr>
          <w:rFonts w:ascii="Arial" w:hAnsi="Arial" w:cs="Arial"/>
          <w:color w:val="000000"/>
          <w:sz w:val="20"/>
          <w:szCs w:val="20"/>
          <w:lang w:val="it-IT"/>
        </w:rPr>
        <w:t xml:space="preserve"> presente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una copia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avviso legale pubblicato e un documento di domande relative al trasferimento).</w:t>
      </w:r>
    </w:p>
    <w:p w14:paraId="3706AECA" w14:textId="2D91DDE1"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Data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immaterialità della transazione per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attività più ampia di ZLAP, non è intenzione di ZLAP comunicare con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ZLAP non </w:t>
      </w:r>
      <w:r w:rsidR="00DA1CEB">
        <w:rPr>
          <w:rFonts w:ascii="Arial" w:hAnsi="Arial" w:cs="Arial"/>
          <w:color w:val="000000"/>
          <w:sz w:val="20"/>
          <w:szCs w:val="20"/>
          <w:lang w:val="it-IT"/>
        </w:rPr>
        <w:t>in trasferimento</w:t>
      </w:r>
      <w:r w:rsidRPr="00656794">
        <w:rPr>
          <w:rFonts w:ascii="Arial" w:hAnsi="Arial" w:cs="Arial"/>
          <w:color w:val="000000"/>
          <w:sz w:val="20"/>
          <w:szCs w:val="20"/>
          <w:lang w:val="it-IT"/>
        </w:rPr>
        <w:t>.</w:t>
      </w:r>
    </w:p>
    <w:p w14:paraId="57037334" w14:textId="0F56E48F"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Non vi è alcuna intenzione di comunicare con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di </w:t>
      </w:r>
      <w:r w:rsidR="0089524C" w:rsidRPr="00656794">
        <w:rPr>
          <w:rFonts w:ascii="Arial" w:hAnsi="Arial" w:cs="Arial"/>
          <w:color w:val="000000"/>
          <w:sz w:val="20"/>
          <w:szCs w:val="20"/>
          <w:lang w:val="it-IT"/>
        </w:rPr>
        <w:t>ZIL; tuttavia,</w:t>
      </w:r>
      <w:r w:rsidRPr="00656794">
        <w:rPr>
          <w:rFonts w:ascii="Arial" w:hAnsi="Arial" w:cs="Arial"/>
          <w:color w:val="000000"/>
          <w:sz w:val="20"/>
          <w:szCs w:val="20"/>
          <w:lang w:val="it-IT"/>
        </w:rPr>
        <w:t xml:space="preserve"> le informazioni saranno disponibili sul sito Web di ZIL. Le ragioni esposte dalla direzione di ZIL sono che </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ha un impatto significativo </w:t>
      </w:r>
      <w:r w:rsidR="00DC30A5">
        <w:rPr>
          <w:rFonts w:ascii="Arial" w:hAnsi="Arial" w:cs="Arial"/>
          <w:color w:val="000000"/>
          <w:sz w:val="20"/>
          <w:szCs w:val="20"/>
          <w:lang w:val="it-IT"/>
        </w:rPr>
        <w:t>sui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D20929">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ZIL e la loro posizione finanziaria complessiva prima e dopo </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rimane forte e supera i limiti di capitale regolamentare interni ed esterni. Ho valutato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impatto finanziario </w:t>
      </w:r>
      <w:r w:rsidR="00DC30A5">
        <w:rPr>
          <w:rFonts w:ascii="Arial" w:hAnsi="Arial" w:cs="Arial"/>
          <w:color w:val="000000"/>
          <w:sz w:val="20"/>
          <w:szCs w:val="20"/>
          <w:lang w:val="it-IT"/>
        </w:rPr>
        <w:t>sui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w:t>
      </w:r>
      <w:r w:rsidR="00D20929">
        <w:rPr>
          <w:rFonts w:ascii="Arial" w:hAnsi="Arial" w:cs="Arial"/>
          <w:color w:val="000000"/>
          <w:sz w:val="20"/>
          <w:szCs w:val="20"/>
          <w:lang w:val="it-IT"/>
        </w:rPr>
        <w:t xml:space="preserve">esistenti </w:t>
      </w:r>
      <w:r w:rsidR="00420F7E">
        <w:rPr>
          <w:rFonts w:ascii="Arial" w:hAnsi="Arial" w:cs="Arial"/>
          <w:color w:val="000000"/>
          <w:sz w:val="20"/>
          <w:szCs w:val="20"/>
          <w:lang w:val="it-IT"/>
        </w:rPr>
        <w:t>di ZLAP</w:t>
      </w:r>
      <w:r w:rsidRPr="00656794">
        <w:rPr>
          <w:rFonts w:ascii="Arial" w:hAnsi="Arial" w:cs="Arial"/>
          <w:color w:val="000000"/>
          <w:sz w:val="20"/>
          <w:szCs w:val="20"/>
          <w:lang w:val="it-IT"/>
        </w:rPr>
        <w:t xml:space="preserve"> e ho preso nota degli impatti, come descritto nella precedente sezione 2.1.5.</w:t>
      </w:r>
    </w:p>
    <w:p w14:paraId="3A6770AD" w14:textId="5612BB77"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Oltre a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 ho preparato un</w:t>
      </w:r>
      <w:r w:rsidR="00DA1CEB">
        <w:rPr>
          <w:rFonts w:ascii="Arial" w:hAnsi="Arial" w:cs="Arial"/>
          <w:color w:val="000000"/>
          <w:sz w:val="20"/>
          <w:szCs w:val="20"/>
          <w:lang w:val="it-IT"/>
        </w:rPr>
        <w:t>a</w:t>
      </w:r>
      <w:r w:rsidRPr="00656794">
        <w:rPr>
          <w:rFonts w:ascii="Arial" w:hAnsi="Arial" w:cs="Arial"/>
          <w:color w:val="000000"/>
          <w:sz w:val="20"/>
          <w:szCs w:val="20"/>
          <w:lang w:val="it-IT"/>
        </w:rPr>
        <w:t xml:space="preserv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xml:space="preserve"> </w:t>
      </w:r>
      <w:r w:rsidR="00A4066B">
        <w:rPr>
          <w:rFonts w:ascii="Arial" w:hAnsi="Arial" w:cs="Arial"/>
          <w:color w:val="000000"/>
          <w:sz w:val="20"/>
          <w:szCs w:val="20"/>
          <w:lang w:val="it-IT"/>
        </w:rPr>
        <w:t>di Sintesi</w:t>
      </w:r>
      <w:r w:rsidR="00DA1CEB"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che copre tutti i punti materiali e le questioni sollevate in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 xml:space="preserve"> </w:t>
      </w:r>
      <w:r w:rsidR="00DA1CEB" w:rsidRPr="00656794">
        <w:rPr>
          <w:rFonts w:ascii="Arial" w:hAnsi="Arial" w:cs="Arial"/>
          <w:color w:val="000000"/>
          <w:sz w:val="20"/>
          <w:szCs w:val="20"/>
          <w:lang w:val="it-IT"/>
        </w:rPr>
        <w:t>complet</w:t>
      </w:r>
      <w:r w:rsidR="00DA1CEB">
        <w:rPr>
          <w:rFonts w:ascii="Arial" w:hAnsi="Arial" w:cs="Arial"/>
          <w:color w:val="000000"/>
          <w:sz w:val="20"/>
          <w:szCs w:val="20"/>
          <w:lang w:val="it-IT"/>
        </w:rPr>
        <w:t>a</w:t>
      </w:r>
      <w:r w:rsidRPr="00656794">
        <w:rPr>
          <w:rFonts w:ascii="Arial" w:hAnsi="Arial" w:cs="Arial"/>
          <w:color w:val="000000"/>
          <w:sz w:val="20"/>
          <w:szCs w:val="20"/>
          <w:lang w:val="it-IT"/>
        </w:rPr>
        <w:t xml:space="preserve">. La comunicazione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873B88">
        <w:rPr>
          <w:rFonts w:ascii="Arial" w:hAnsi="Arial" w:cs="Arial"/>
          <w:color w:val="000000"/>
          <w:sz w:val="20"/>
          <w:szCs w:val="20"/>
          <w:lang w:val="it-IT"/>
        </w:rPr>
        <w:t xml:space="preserve"> in perimetro per il trasferimento</w:t>
      </w:r>
      <w:r w:rsidRPr="00656794">
        <w:rPr>
          <w:rFonts w:ascii="Arial" w:hAnsi="Arial" w:cs="Arial"/>
          <w:color w:val="000000"/>
          <w:sz w:val="20"/>
          <w:szCs w:val="20"/>
          <w:lang w:val="it-IT"/>
        </w:rPr>
        <w:t xml:space="preserve"> includerà la mia conclusione in qualità di Attuario Indipendente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della Relazione di Sintesi</w:t>
      </w:r>
      <w:r w:rsidR="006A50D5">
        <w:rPr>
          <w:rFonts w:ascii="Arial" w:hAnsi="Arial" w:cs="Arial"/>
          <w:color w:val="000000"/>
          <w:sz w:val="20"/>
          <w:szCs w:val="20"/>
          <w:lang w:val="it-IT"/>
        </w:rPr>
        <w:t>, la quale inoltre e</w:t>
      </w:r>
      <w:r w:rsidRPr="00656794">
        <w:rPr>
          <w:rFonts w:ascii="Arial" w:hAnsi="Arial" w:cs="Arial"/>
          <w:color w:val="000000"/>
          <w:sz w:val="20"/>
          <w:szCs w:val="20"/>
          <w:lang w:val="it-IT"/>
        </w:rPr>
        <w:t xml:space="preserve">videnzierà anche molto chiaramente </w:t>
      </w:r>
      <w:r w:rsidR="00391605">
        <w:rPr>
          <w:rFonts w:ascii="Arial" w:hAnsi="Arial" w:cs="Arial"/>
          <w:color w:val="000000"/>
          <w:sz w:val="20"/>
          <w:szCs w:val="20"/>
          <w:lang w:val="it-IT"/>
        </w:rPr>
        <w:t>che è possibile</w:t>
      </w:r>
      <w:r w:rsidR="0086526E">
        <w:rPr>
          <w:rFonts w:ascii="Arial" w:hAnsi="Arial" w:cs="Arial"/>
          <w:color w:val="000000"/>
          <w:sz w:val="20"/>
          <w:szCs w:val="20"/>
          <w:lang w:val="it-IT"/>
        </w:rPr>
        <w:t xml:space="preserve"> prendere visualizzazione </w:t>
      </w:r>
      <w:r w:rsidR="005B7BBB" w:rsidRPr="00656794">
        <w:rPr>
          <w:rFonts w:ascii="Arial" w:hAnsi="Arial" w:cs="Arial"/>
          <w:color w:val="000000"/>
          <w:sz w:val="20"/>
          <w:szCs w:val="20"/>
          <w:lang w:val="it-IT"/>
        </w:rPr>
        <w:t>della mia Relazione</w:t>
      </w:r>
      <w:r w:rsidRPr="00656794">
        <w:rPr>
          <w:rFonts w:ascii="Arial" w:hAnsi="Arial" w:cs="Arial"/>
          <w:color w:val="000000"/>
          <w:sz w:val="20"/>
          <w:szCs w:val="20"/>
          <w:lang w:val="it-IT"/>
        </w:rPr>
        <w:t xml:space="preserve"> </w:t>
      </w:r>
      <w:r w:rsidR="00DA1CEB" w:rsidRPr="00656794">
        <w:rPr>
          <w:rFonts w:ascii="Arial" w:hAnsi="Arial" w:cs="Arial"/>
          <w:color w:val="000000"/>
          <w:sz w:val="20"/>
          <w:szCs w:val="20"/>
          <w:lang w:val="it-IT"/>
        </w:rPr>
        <w:t>complet</w:t>
      </w:r>
      <w:r w:rsidR="00DA1CEB">
        <w:rPr>
          <w:rFonts w:ascii="Arial" w:hAnsi="Arial" w:cs="Arial"/>
          <w:color w:val="000000"/>
          <w:sz w:val="20"/>
          <w:szCs w:val="20"/>
          <w:lang w:val="it-IT"/>
        </w:rPr>
        <w:t>a</w:t>
      </w:r>
      <w:r w:rsidR="00DA1CEB"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su richiesta </w:t>
      </w:r>
      <w:r w:rsidR="0086526E" w:rsidRPr="00656794">
        <w:rPr>
          <w:rFonts w:ascii="Arial" w:hAnsi="Arial" w:cs="Arial"/>
          <w:color w:val="000000"/>
          <w:sz w:val="20"/>
          <w:szCs w:val="20"/>
          <w:lang w:val="it-IT"/>
        </w:rPr>
        <w:t>e</w:t>
      </w:r>
      <w:r w:rsidR="0086526E">
        <w:rPr>
          <w:rFonts w:ascii="Arial" w:hAnsi="Arial" w:cs="Arial"/>
          <w:color w:val="000000"/>
          <w:sz w:val="20"/>
          <w:szCs w:val="20"/>
          <w:lang w:val="it-IT"/>
        </w:rPr>
        <w:t>, inoltre,</w:t>
      </w:r>
      <w:r w:rsidRPr="00656794">
        <w:rPr>
          <w:rFonts w:ascii="Arial" w:hAnsi="Arial" w:cs="Arial"/>
          <w:color w:val="000000"/>
          <w:sz w:val="20"/>
          <w:szCs w:val="20"/>
          <w:lang w:val="it-IT"/>
        </w:rPr>
        <w:t xml:space="preserve"> la sua </w:t>
      </w:r>
      <w:r w:rsidR="0086526E">
        <w:rPr>
          <w:rFonts w:ascii="Arial" w:hAnsi="Arial" w:cs="Arial"/>
          <w:color w:val="000000"/>
          <w:sz w:val="20"/>
          <w:szCs w:val="20"/>
          <w:lang w:val="it-IT"/>
        </w:rPr>
        <w:t>presenza</w:t>
      </w:r>
      <w:r w:rsidR="0086526E"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sul sito Web </w:t>
      </w:r>
      <w:r w:rsidR="00377BBB">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ZLAP e </w:t>
      </w:r>
      <w:r w:rsidR="00377BBB">
        <w:rPr>
          <w:rFonts w:ascii="Arial" w:hAnsi="Arial" w:cs="Arial"/>
          <w:color w:val="000000"/>
          <w:sz w:val="20"/>
          <w:szCs w:val="20"/>
          <w:lang w:val="it-IT"/>
        </w:rPr>
        <w:t xml:space="preserve">di </w:t>
      </w:r>
      <w:r w:rsidRPr="00656794">
        <w:rPr>
          <w:rFonts w:ascii="Arial" w:hAnsi="Arial" w:cs="Arial"/>
          <w:color w:val="000000"/>
          <w:sz w:val="20"/>
          <w:szCs w:val="20"/>
          <w:lang w:val="it-IT"/>
        </w:rPr>
        <w:t>ZIL. Il CBI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saranno informati di questo approccio e ho ipotizzato che non solleveranno obiezioni.</w:t>
      </w:r>
    </w:p>
    <w:p w14:paraId="2D5A6E12" w14:textId="09CB3613"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86526E">
        <w:rPr>
          <w:rFonts w:ascii="Arial" w:hAnsi="Arial" w:cs="Arial"/>
          <w:color w:val="000000"/>
          <w:sz w:val="20"/>
          <w:szCs w:val="20"/>
          <w:lang w:val="it-IT"/>
        </w:rPr>
        <w:t xml:space="preserve">Verrà </w:t>
      </w:r>
      <w:r w:rsidRPr="00656794">
        <w:rPr>
          <w:rFonts w:ascii="Arial" w:hAnsi="Arial" w:cs="Arial"/>
          <w:color w:val="000000"/>
          <w:sz w:val="20"/>
          <w:szCs w:val="20"/>
          <w:lang w:val="it-IT"/>
        </w:rPr>
        <w:t>pubblicato</w:t>
      </w:r>
      <w:r w:rsidR="0086526E">
        <w:rPr>
          <w:rFonts w:ascii="Arial" w:hAnsi="Arial" w:cs="Arial"/>
          <w:color w:val="000000"/>
          <w:sz w:val="20"/>
          <w:szCs w:val="20"/>
          <w:lang w:val="it-IT"/>
        </w:rPr>
        <w:t xml:space="preserve"> un avviso</w:t>
      </w:r>
      <w:r w:rsidRPr="00656794">
        <w:rPr>
          <w:rFonts w:ascii="Arial" w:hAnsi="Arial" w:cs="Arial"/>
          <w:color w:val="000000"/>
          <w:sz w:val="20"/>
          <w:szCs w:val="20"/>
          <w:lang w:val="it-IT"/>
        </w:rPr>
        <w:t xml:space="preserve"> sulla Gazzetta ufficiale irlandese, Iris Oifigiúil, su due quotidiani a diffusione nazionale in Irlanda e sulla versione internazionale del Financial Times.</w:t>
      </w:r>
    </w:p>
    <w:p w14:paraId="013D7E7C" w14:textId="72FB32CD"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La maggior parte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ha sede in Italia, con un piccolo numero in altri Stati membri del SEE. ZLAP pubblicherà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avviso del trasferimento in Italia e in ogni altro Stato membro del SEE pertinente in conformità con la legge di ciascuno di tali Stati membri. ZLAP è attualmente impegnata con i suoi consulenti legali per accertare ciò che la legge richiede in ciascuno di questi Stati membri.</w:t>
      </w:r>
    </w:p>
    <w:p w14:paraId="2F2A1BA3" w14:textId="652FA5AA"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Esiste un numero limitato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al di fuori del SEE. Pur non essendo un requisito legale, ZLAP intende pubblicizzare </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edizione internazionale del Financial Times per accogliere tali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w:t>
      </w:r>
    </w:p>
    <w:p w14:paraId="7D7305B8" w14:textId="19D7676A"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xml:space="preserve">Nel complesso, sono a mio agio con questo approccio di comunicazione e sono sicuro che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rimanenti di ZLAP</w:t>
      </w:r>
      <w:r w:rsidRPr="00656794">
        <w:rPr>
          <w:rFonts w:ascii="Arial" w:hAnsi="Arial" w:cs="Arial"/>
          <w:color w:val="000000"/>
          <w:sz w:val="20"/>
          <w:szCs w:val="20"/>
          <w:lang w:val="it-IT"/>
        </w:rPr>
        <w:t xml:space="preserve"> e </w:t>
      </w:r>
      <w:r w:rsidR="00C47546">
        <w:rPr>
          <w:rFonts w:ascii="Arial" w:hAnsi="Arial" w:cs="Arial"/>
          <w:color w:val="000000"/>
          <w:sz w:val="20"/>
          <w:szCs w:val="20"/>
          <w:lang w:val="it-IT"/>
        </w:rPr>
        <w:t xml:space="preserve">quelli esistenti di </w:t>
      </w:r>
      <w:r w:rsidRPr="00656794">
        <w:rPr>
          <w:rFonts w:ascii="Arial" w:hAnsi="Arial" w:cs="Arial"/>
          <w:color w:val="000000"/>
          <w:sz w:val="20"/>
          <w:szCs w:val="20"/>
          <w:lang w:val="it-IT"/>
        </w:rPr>
        <w:t xml:space="preserve">ZIL non saranno svantaggiati in alcun modo </w:t>
      </w:r>
      <w:r w:rsidR="00FB379E">
        <w:rPr>
          <w:rFonts w:ascii="Arial" w:hAnsi="Arial" w:cs="Arial"/>
          <w:color w:val="000000"/>
          <w:sz w:val="20"/>
          <w:szCs w:val="20"/>
          <w:lang w:val="it-IT"/>
        </w:rPr>
        <w:t>se non riceveranno</w:t>
      </w:r>
      <w:r w:rsidRPr="00656794">
        <w:rPr>
          <w:rFonts w:ascii="Arial" w:hAnsi="Arial" w:cs="Arial"/>
          <w:color w:val="000000"/>
          <w:sz w:val="20"/>
          <w:szCs w:val="20"/>
          <w:lang w:val="it-IT"/>
        </w:rPr>
        <w:t xml:space="preserve"> una copia di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 xml:space="preserve"> o </w:t>
      </w:r>
      <w:r w:rsidR="005B7BBB" w:rsidRPr="00656794">
        <w:rPr>
          <w:rFonts w:ascii="Arial" w:hAnsi="Arial" w:cs="Arial"/>
          <w:color w:val="000000"/>
          <w:sz w:val="20"/>
          <w:szCs w:val="20"/>
          <w:lang w:val="it-IT"/>
        </w:rPr>
        <w:t>della mia Relazione</w:t>
      </w:r>
      <w:r w:rsidRPr="00656794">
        <w:rPr>
          <w:rFonts w:ascii="Arial" w:hAnsi="Arial" w:cs="Arial"/>
          <w:color w:val="000000"/>
          <w:sz w:val="20"/>
          <w:szCs w:val="20"/>
          <w:lang w:val="it-IT"/>
        </w:rPr>
        <w:t xml:space="preserve"> di </w:t>
      </w:r>
      <w:r w:rsidR="00FB379E">
        <w:rPr>
          <w:rFonts w:ascii="Arial" w:hAnsi="Arial" w:cs="Arial"/>
          <w:color w:val="000000"/>
          <w:sz w:val="20"/>
          <w:szCs w:val="20"/>
          <w:lang w:val="it-IT"/>
        </w:rPr>
        <w:t>S</w:t>
      </w:r>
      <w:r w:rsidRPr="00656794">
        <w:rPr>
          <w:rFonts w:ascii="Arial" w:hAnsi="Arial" w:cs="Arial"/>
          <w:color w:val="000000"/>
          <w:sz w:val="20"/>
          <w:szCs w:val="20"/>
          <w:lang w:val="it-IT"/>
        </w:rPr>
        <w:t>intesi.</w:t>
      </w:r>
    </w:p>
    <w:p w14:paraId="40AF5074" w14:textId="65CEA9F4" w:rsidR="00E079C7" w:rsidRPr="00656794" w:rsidRDefault="00E079C7" w:rsidP="00E079C7">
      <w:pPr>
        <w:pStyle w:val="NormalWeb"/>
        <w:ind w:right="102"/>
        <w:jc w:val="both"/>
        <w:rPr>
          <w:rFonts w:ascii="Arial" w:hAnsi="Arial" w:cs="Arial"/>
          <w:color w:val="00338D"/>
          <w:lang w:val="it-IT"/>
        </w:rPr>
      </w:pPr>
      <w:r w:rsidRPr="00656794">
        <w:rPr>
          <w:rFonts w:ascii="Arial" w:hAnsi="Arial" w:cs="Arial"/>
          <w:color w:val="00338D"/>
          <w:lang w:val="it-IT"/>
        </w:rPr>
        <w:t xml:space="preserve">2.1.7 </w:t>
      </w:r>
      <w:r w:rsidR="005A36AD">
        <w:rPr>
          <w:rFonts w:ascii="Arial" w:hAnsi="Arial" w:cs="Arial"/>
          <w:color w:val="00338D"/>
          <w:lang w:val="it-IT"/>
        </w:rPr>
        <w:t>Relazione Integrativa</w:t>
      </w:r>
    </w:p>
    <w:p w14:paraId="20AE43E4" w14:textId="5D64AF24"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La presente relazione si basa sulle informazioni fornitemi entro il 30 settembre 2021 e riflette pertanto una visione temporale del trasferimento proposto. La mia comprensione è che ZLAP e ZIL intendono chiedermi di preparare ed emettere un </w:t>
      </w:r>
      <w:r w:rsidR="005A36AD">
        <w:rPr>
          <w:rFonts w:ascii="Arial" w:hAnsi="Arial" w:cs="Arial"/>
          <w:color w:val="000000"/>
          <w:sz w:val="20"/>
          <w:szCs w:val="20"/>
          <w:lang w:val="it-IT"/>
        </w:rPr>
        <w:t>Relazione Integrativa</w:t>
      </w:r>
      <w:r w:rsidRPr="00656794">
        <w:rPr>
          <w:rFonts w:ascii="Arial" w:hAnsi="Arial" w:cs="Arial"/>
          <w:color w:val="000000"/>
          <w:sz w:val="20"/>
          <w:szCs w:val="20"/>
          <w:lang w:val="it-IT"/>
        </w:rPr>
        <w:t xml:space="preserve"> più vicino alla data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udienza finale in cui l</w:t>
      </w:r>
      <w:r w:rsidR="00F23A40" w:rsidRPr="00656794">
        <w:rPr>
          <w:rFonts w:ascii="Arial" w:hAnsi="Arial" w:cs="Arial"/>
          <w:color w:val="000000"/>
          <w:sz w:val="20"/>
          <w:szCs w:val="20"/>
          <w:lang w:val="it-IT"/>
        </w:rPr>
        <w:t>’</w:t>
      </w:r>
      <w:r w:rsidR="00B9172D">
        <w:rPr>
          <w:rFonts w:ascii="Arial" w:hAnsi="Arial" w:cs="Arial"/>
          <w:color w:val="000000"/>
          <w:sz w:val="20"/>
          <w:szCs w:val="20"/>
          <w:lang w:val="it-IT"/>
        </w:rPr>
        <w:t>High Court of Ireland</w:t>
      </w:r>
      <w:r w:rsidRPr="00656794">
        <w:rPr>
          <w:rFonts w:ascii="Arial" w:hAnsi="Arial" w:cs="Arial"/>
          <w:color w:val="000000"/>
          <w:sz w:val="20"/>
          <w:szCs w:val="20"/>
          <w:lang w:val="it-IT"/>
        </w:rPr>
        <w:t xml:space="preserve"> sarà chiamata a considerare e </w:t>
      </w:r>
      <w:r w:rsidR="00B072AD">
        <w:rPr>
          <w:rFonts w:ascii="Arial" w:hAnsi="Arial" w:cs="Arial"/>
          <w:color w:val="000000"/>
          <w:sz w:val="20"/>
          <w:szCs w:val="20"/>
          <w:lang w:val="it-IT"/>
        </w:rPr>
        <w:t>approvare</w:t>
      </w:r>
      <w:r w:rsidRPr="00656794">
        <w:rPr>
          <w:rFonts w:ascii="Arial" w:hAnsi="Arial" w:cs="Arial"/>
          <w:color w:val="000000"/>
          <w:sz w:val="20"/>
          <w:szCs w:val="20"/>
          <w:lang w:val="it-IT"/>
        </w:rPr>
        <w:t xml:space="preserve"> </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proposto. La mia </w:t>
      </w:r>
      <w:r w:rsidR="005A36AD">
        <w:rPr>
          <w:rFonts w:ascii="Arial" w:hAnsi="Arial" w:cs="Arial"/>
          <w:color w:val="000000"/>
          <w:sz w:val="20"/>
          <w:szCs w:val="20"/>
          <w:lang w:val="it-IT"/>
        </w:rPr>
        <w:t>Relazione Integrativa</w:t>
      </w:r>
      <w:r w:rsidRPr="00656794">
        <w:rPr>
          <w:rFonts w:ascii="Arial" w:hAnsi="Arial" w:cs="Arial"/>
          <w:color w:val="000000"/>
          <w:sz w:val="20"/>
          <w:szCs w:val="20"/>
          <w:lang w:val="it-IT"/>
        </w:rPr>
        <w:t xml:space="preserve"> conterrà un aggiornamento su eventuali sviluppi che potrebbero essersi verificati dal 30 settembre 2021. Nella mia </w:t>
      </w:r>
      <w:r w:rsidR="005A36AD">
        <w:rPr>
          <w:rFonts w:ascii="Arial" w:hAnsi="Arial" w:cs="Arial"/>
          <w:color w:val="000000"/>
          <w:sz w:val="20"/>
          <w:szCs w:val="20"/>
          <w:lang w:val="it-IT"/>
        </w:rPr>
        <w:t>Relazione Integrativa</w:t>
      </w:r>
      <w:r w:rsidRPr="00656794">
        <w:rPr>
          <w:rFonts w:ascii="Arial" w:hAnsi="Arial" w:cs="Arial"/>
          <w:color w:val="000000"/>
          <w:sz w:val="20"/>
          <w:szCs w:val="20"/>
          <w:lang w:val="it-IT"/>
        </w:rPr>
        <w:t>, esaminerò le mie conclusioni e opinioni che includeranno la considerazione di quanto segue:</w:t>
      </w:r>
    </w:p>
    <w:p w14:paraId="586F3BD2" w14:textId="77777777"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Andamento aziendale nel periodo e informazioni normative e finanziarie aggiornate sia per ZLAP che per ZIL;</w:t>
      </w:r>
    </w:p>
    <w:p w14:paraId="3E56D7C2" w14:textId="5FEEB9EC"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Stato di avanzamento della migrazione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amministrazione da Capita a Previnet compreso il completamento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di progetto in linea con le tempistiche indicate;</w:t>
      </w:r>
    </w:p>
    <w:p w14:paraId="249FF99B" w14:textId="077DA6FE"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Progressi nel trasferimento dei fondi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ai fondi di sostituzione che sono stati concordati con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prima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283777C4" w14:textId="0762662A"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Stato di avanzamento delle modifiche a</w:t>
      </w:r>
      <w:r w:rsidR="0094302E">
        <w:rPr>
          <w:rFonts w:ascii="Arial" w:hAnsi="Arial" w:cs="Arial"/>
          <w:color w:val="000000"/>
          <w:sz w:val="20"/>
          <w:szCs w:val="20"/>
          <w:lang w:val="it-IT"/>
        </w:rPr>
        <w:t>lle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per la libertà dei servizi assicurati ed eventuali problematiche derivanti dal processo di comunicazione;</w:t>
      </w:r>
    </w:p>
    <w:p w14:paraId="612F9269" w14:textId="31C7E8CB" w:rsidR="00F616EB"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Esame delle comunicazioni al</w:t>
      </w:r>
      <w:r w:rsidR="000640ED">
        <w:rPr>
          <w:rFonts w:ascii="Arial" w:hAnsi="Arial" w:cs="Arial"/>
          <w:color w:val="000000"/>
          <w:sz w:val="20"/>
          <w:szCs w:val="20"/>
          <w:lang w:val="it-IT"/>
        </w:rPr>
        <w:t xml:space="preserve"> contraente</w:t>
      </w:r>
      <w:r w:rsidRPr="00656794">
        <w:rPr>
          <w:rFonts w:ascii="Arial" w:hAnsi="Arial" w:cs="Arial"/>
          <w:color w:val="000000"/>
          <w:sz w:val="20"/>
          <w:szCs w:val="20"/>
          <w:lang w:val="it-IT"/>
        </w:rPr>
        <w:t xml:space="preserve"> da emettere in relazione al trasferimento; e </w:t>
      </w:r>
    </w:p>
    <w:p w14:paraId="72FA667A" w14:textId="769C31CE"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Aggiornamento su più ampio mercato e sviluppi normativi.</w:t>
      </w:r>
    </w:p>
    <w:p w14:paraId="0B3A5314" w14:textId="5F5199B9"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Naturalmente </w:t>
      </w:r>
      <w:r w:rsidR="00ED0081" w:rsidRPr="00656794">
        <w:rPr>
          <w:rFonts w:ascii="Arial" w:hAnsi="Arial" w:cs="Arial"/>
          <w:color w:val="000000"/>
          <w:sz w:val="20"/>
          <w:szCs w:val="20"/>
          <w:lang w:val="it-IT"/>
        </w:rPr>
        <w:t>po</w:t>
      </w:r>
      <w:r w:rsidR="00ED0081">
        <w:rPr>
          <w:rFonts w:ascii="Arial" w:hAnsi="Arial" w:cs="Arial"/>
          <w:color w:val="000000"/>
          <w:sz w:val="20"/>
          <w:szCs w:val="20"/>
          <w:lang w:val="it-IT"/>
        </w:rPr>
        <w:t>tranno</w:t>
      </w:r>
      <w:r w:rsidR="00ED0081"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sorgere altri problemi e questi saranno presi in considerazione in tale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w:t>
      </w:r>
    </w:p>
    <w:p w14:paraId="5791EA60" w14:textId="5771DEDF" w:rsidR="00E079C7" w:rsidRPr="00656794" w:rsidRDefault="005A36AD" w:rsidP="00E079C7">
      <w:pPr>
        <w:pStyle w:val="NormalWeb"/>
        <w:ind w:right="102"/>
        <w:jc w:val="both"/>
        <w:rPr>
          <w:rFonts w:ascii="Arial" w:hAnsi="Arial" w:cs="Arial"/>
          <w:color w:val="000000"/>
          <w:sz w:val="20"/>
          <w:szCs w:val="20"/>
          <w:lang w:val="it-IT"/>
        </w:rPr>
      </w:pPr>
      <w:r>
        <w:rPr>
          <w:rFonts w:ascii="Arial" w:hAnsi="Arial" w:cs="Arial"/>
          <w:color w:val="000000"/>
          <w:sz w:val="20"/>
          <w:szCs w:val="20"/>
          <w:lang w:val="it-IT"/>
        </w:rPr>
        <w:t>Questa</w:t>
      </w:r>
      <w:r w:rsidR="00E079C7" w:rsidRPr="00656794">
        <w:rPr>
          <w:rFonts w:ascii="Arial" w:hAnsi="Arial" w:cs="Arial"/>
          <w:color w:val="000000"/>
          <w:sz w:val="20"/>
          <w:szCs w:val="20"/>
          <w:lang w:val="it-IT"/>
        </w:rPr>
        <w:t xml:space="preserve"> Relazione Integrativa, ove richiesta da produrre, </w:t>
      </w:r>
      <w:r w:rsidR="001F28EC">
        <w:rPr>
          <w:rFonts w:ascii="Arial" w:hAnsi="Arial" w:cs="Arial"/>
          <w:color w:val="000000"/>
          <w:sz w:val="20"/>
          <w:szCs w:val="20"/>
          <w:lang w:val="it-IT"/>
        </w:rPr>
        <w:t>sarà</w:t>
      </w:r>
      <w:r w:rsidR="00E079C7" w:rsidRPr="00656794">
        <w:rPr>
          <w:rFonts w:ascii="Arial" w:hAnsi="Arial" w:cs="Arial"/>
          <w:color w:val="000000"/>
          <w:sz w:val="20"/>
          <w:szCs w:val="20"/>
          <w:lang w:val="it-IT"/>
        </w:rPr>
        <w:t xml:space="preserve"> disponibile</w:t>
      </w:r>
      <w:r w:rsidR="009A54F5">
        <w:rPr>
          <w:rFonts w:ascii="Arial" w:hAnsi="Arial" w:cs="Arial"/>
          <w:color w:val="000000"/>
          <w:sz w:val="20"/>
          <w:szCs w:val="20"/>
          <w:lang w:val="it-IT"/>
        </w:rPr>
        <w:t>,</w:t>
      </w:r>
      <w:r w:rsidR="00E079C7" w:rsidRPr="00656794">
        <w:rPr>
          <w:rFonts w:ascii="Arial" w:hAnsi="Arial" w:cs="Arial"/>
          <w:color w:val="000000"/>
          <w:sz w:val="20"/>
          <w:szCs w:val="20"/>
          <w:lang w:val="it-IT"/>
        </w:rPr>
        <w:t xml:space="preserve"> </w:t>
      </w:r>
      <w:r w:rsidR="001F28EC" w:rsidRPr="00656794">
        <w:rPr>
          <w:rFonts w:ascii="Arial" w:hAnsi="Arial" w:cs="Arial"/>
          <w:color w:val="000000"/>
          <w:sz w:val="20"/>
          <w:szCs w:val="20"/>
          <w:lang w:val="it-IT"/>
        </w:rPr>
        <w:t>non appena possibile</w:t>
      </w:r>
      <w:r w:rsidR="009A54F5">
        <w:rPr>
          <w:rFonts w:ascii="Arial" w:hAnsi="Arial" w:cs="Arial"/>
          <w:color w:val="000000"/>
          <w:sz w:val="20"/>
          <w:szCs w:val="20"/>
          <w:lang w:val="it-IT"/>
        </w:rPr>
        <w:t>,</w:t>
      </w:r>
      <w:r w:rsidR="001F28EC" w:rsidRPr="00656794">
        <w:rPr>
          <w:rFonts w:ascii="Arial" w:hAnsi="Arial" w:cs="Arial"/>
          <w:color w:val="000000"/>
          <w:sz w:val="20"/>
          <w:szCs w:val="20"/>
          <w:lang w:val="it-IT"/>
        </w:rPr>
        <w:t xml:space="preserve"> </w:t>
      </w:r>
      <w:r w:rsidR="00E079C7" w:rsidRPr="00656794">
        <w:rPr>
          <w:rFonts w:ascii="Arial" w:hAnsi="Arial" w:cs="Arial"/>
          <w:color w:val="000000"/>
          <w:sz w:val="20"/>
          <w:szCs w:val="20"/>
          <w:lang w:val="it-IT"/>
        </w:rPr>
        <w:t xml:space="preserve">unitamente alla presente Relazione presso le sedi legali di ZLAP e </w:t>
      </w:r>
      <w:r w:rsidR="001F28EC">
        <w:rPr>
          <w:rFonts w:ascii="Arial" w:hAnsi="Arial" w:cs="Arial"/>
          <w:color w:val="000000"/>
          <w:sz w:val="20"/>
          <w:szCs w:val="20"/>
          <w:lang w:val="it-IT"/>
        </w:rPr>
        <w:t xml:space="preserve">di </w:t>
      </w:r>
      <w:r w:rsidR="00E079C7" w:rsidRPr="00656794">
        <w:rPr>
          <w:rFonts w:ascii="Arial" w:hAnsi="Arial" w:cs="Arial"/>
          <w:color w:val="000000"/>
          <w:sz w:val="20"/>
          <w:szCs w:val="20"/>
          <w:lang w:val="it-IT"/>
        </w:rPr>
        <w:t>ZIL e sul sito internet di ZLAP una volta emessa.</w:t>
      </w:r>
    </w:p>
    <w:p w14:paraId="13D942FD" w14:textId="77777777" w:rsidR="00E079C7" w:rsidRPr="00656794" w:rsidRDefault="00E079C7" w:rsidP="00E079C7">
      <w:pPr>
        <w:pStyle w:val="NormalWeb"/>
        <w:ind w:right="102"/>
        <w:jc w:val="both"/>
        <w:rPr>
          <w:rFonts w:ascii="Arial" w:hAnsi="Arial" w:cs="Arial"/>
          <w:b/>
          <w:bCs/>
          <w:color w:val="00338D"/>
          <w:sz w:val="28"/>
          <w:szCs w:val="28"/>
          <w:lang w:val="it-IT"/>
        </w:rPr>
      </w:pPr>
      <w:r w:rsidRPr="00656794">
        <w:rPr>
          <w:rFonts w:ascii="Arial" w:hAnsi="Arial" w:cs="Arial"/>
          <w:b/>
          <w:bCs/>
          <w:color w:val="00338D"/>
          <w:sz w:val="28"/>
          <w:szCs w:val="28"/>
          <w:lang w:val="it-IT"/>
        </w:rPr>
        <w:t>2.2 Conclusioni</w:t>
      </w:r>
    </w:p>
    <w:p w14:paraId="10EB9CC9" w14:textId="7D520DE4"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Considerato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sia </w:t>
      </w:r>
      <w:r w:rsidR="00DC30A5">
        <w:rPr>
          <w:rFonts w:ascii="Arial" w:hAnsi="Arial" w:cs="Arial"/>
          <w:color w:val="000000"/>
          <w:sz w:val="20"/>
          <w:szCs w:val="20"/>
          <w:lang w:val="it-IT"/>
        </w:rPr>
        <w:t>sui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di ZLAP</w:t>
      </w:r>
      <w:r w:rsidR="009A54F5">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che </w:t>
      </w:r>
      <w:r w:rsidR="00DC30A5">
        <w:rPr>
          <w:rFonts w:ascii="Arial" w:hAnsi="Arial" w:cs="Arial"/>
          <w:color w:val="000000"/>
          <w:sz w:val="20"/>
          <w:szCs w:val="20"/>
          <w:lang w:val="it-IT"/>
        </w:rPr>
        <w:t>sui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FD5039">
        <w:rPr>
          <w:rFonts w:ascii="Arial" w:hAnsi="Arial" w:cs="Arial"/>
          <w:color w:val="000000"/>
          <w:sz w:val="20"/>
          <w:szCs w:val="20"/>
          <w:lang w:val="it-IT"/>
        </w:rPr>
        <w:t xml:space="preserve">esistenti </w:t>
      </w:r>
      <w:r w:rsidRPr="00656794">
        <w:rPr>
          <w:rFonts w:ascii="Arial" w:hAnsi="Arial" w:cs="Arial"/>
          <w:color w:val="000000"/>
          <w:sz w:val="20"/>
          <w:szCs w:val="20"/>
          <w:lang w:val="it-IT"/>
        </w:rPr>
        <w:t>di ZIL, è mia opinione che:</w:t>
      </w:r>
    </w:p>
    <w:p w14:paraId="39EA7953" w14:textId="21A5D4C8"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avrà un effetto negativo sostanziale sulle ragionevoli aspettative di beneficio di nessuno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coinvolti; e</w:t>
      </w:r>
    </w:p>
    <w:p w14:paraId="733D48BB" w14:textId="284695B0"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Il rischio per la sicurezza del</w:t>
      </w:r>
      <w:r w:rsidR="000640ED">
        <w:rPr>
          <w:rFonts w:ascii="Arial" w:hAnsi="Arial" w:cs="Arial"/>
          <w:color w:val="000000"/>
          <w:sz w:val="20"/>
          <w:szCs w:val="20"/>
          <w:lang w:val="it-IT"/>
        </w:rPr>
        <w:t xml:space="preserve"> contraente</w:t>
      </w:r>
      <w:r w:rsidRPr="00656794">
        <w:rPr>
          <w:rFonts w:ascii="Arial" w:hAnsi="Arial" w:cs="Arial"/>
          <w:color w:val="000000"/>
          <w:sz w:val="20"/>
          <w:szCs w:val="20"/>
          <w:lang w:val="it-IT"/>
        </w:rPr>
        <w:t xml:space="preserve"> è remoto. Pertanto, a mio avviso,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non saranno materialmente influenzati negativamente dal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proposto.</w:t>
      </w:r>
    </w:p>
    <w:p w14:paraId="111C1723" w14:textId="2E49F8A0"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La mia opinione in relazione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343EC">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ZLAP e </w:t>
      </w:r>
      <w:r w:rsidR="008343EC">
        <w:rPr>
          <w:rFonts w:ascii="Arial" w:hAnsi="Arial" w:cs="Arial"/>
          <w:color w:val="000000"/>
          <w:sz w:val="20"/>
          <w:szCs w:val="20"/>
          <w:lang w:val="it-IT"/>
        </w:rPr>
        <w:t xml:space="preserve">di </w:t>
      </w:r>
      <w:r w:rsidRPr="00656794">
        <w:rPr>
          <w:rFonts w:ascii="Arial" w:hAnsi="Arial" w:cs="Arial"/>
          <w:color w:val="000000"/>
          <w:sz w:val="20"/>
          <w:szCs w:val="20"/>
          <w:lang w:val="it-IT"/>
        </w:rPr>
        <w:t>ZIL si basa su:</w:t>
      </w:r>
    </w:p>
    <w:p w14:paraId="7DB04E16" w14:textId="29F18002"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La mia revisione di tutte le informazioni storiche, attuali e previste fornite da ZLAP e </w:t>
      </w:r>
      <w:r w:rsidR="008343EC">
        <w:rPr>
          <w:rFonts w:ascii="Arial" w:hAnsi="Arial" w:cs="Arial"/>
          <w:color w:val="000000"/>
          <w:sz w:val="20"/>
          <w:szCs w:val="20"/>
          <w:lang w:val="it-IT"/>
        </w:rPr>
        <w:t xml:space="preserve">da </w:t>
      </w:r>
      <w:r w:rsidRPr="00656794">
        <w:rPr>
          <w:rFonts w:ascii="Arial" w:hAnsi="Arial" w:cs="Arial"/>
          <w:color w:val="000000"/>
          <w:sz w:val="20"/>
          <w:szCs w:val="20"/>
          <w:lang w:val="it-IT"/>
        </w:rPr>
        <w:t>ZIL; e</w:t>
      </w:r>
    </w:p>
    <w:p w14:paraId="6FB0A0EB" w14:textId="4C5C0545"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Discussioni con </w:t>
      </w:r>
      <w:r w:rsidR="008343EC">
        <w:rPr>
          <w:rFonts w:ascii="Arial" w:hAnsi="Arial" w:cs="Arial"/>
          <w:color w:val="000000"/>
          <w:sz w:val="20"/>
          <w:szCs w:val="20"/>
          <w:lang w:val="it-IT"/>
        </w:rPr>
        <w:t>il management</w:t>
      </w:r>
      <w:r w:rsidRPr="00656794">
        <w:rPr>
          <w:rFonts w:ascii="Arial" w:hAnsi="Arial" w:cs="Arial"/>
          <w:color w:val="000000"/>
          <w:sz w:val="20"/>
          <w:szCs w:val="20"/>
          <w:lang w:val="it-IT"/>
        </w:rPr>
        <w:t xml:space="preserve"> di ZLAP e </w:t>
      </w:r>
      <w:r w:rsidR="008343EC">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ZIL su cosa accadrà dopo il trasferimento. Le mie valutazioni </w:t>
      </w:r>
      <w:r w:rsidR="008343EC">
        <w:rPr>
          <w:rFonts w:ascii="Arial" w:hAnsi="Arial" w:cs="Arial"/>
          <w:color w:val="000000"/>
          <w:sz w:val="20"/>
          <w:szCs w:val="20"/>
          <w:lang w:val="it-IT"/>
        </w:rPr>
        <w:t>vengono</w:t>
      </w:r>
      <w:r w:rsidRPr="00656794">
        <w:rPr>
          <w:rFonts w:ascii="Arial" w:hAnsi="Arial" w:cs="Arial"/>
          <w:color w:val="000000"/>
          <w:sz w:val="20"/>
          <w:szCs w:val="20"/>
          <w:lang w:val="it-IT"/>
        </w:rPr>
        <w:t xml:space="preserve"> effettuate nel contesto del regime normativo Solvency II in Europa. Prendo atto che esiste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adeguata comunicazione pianificata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ai relativi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w:t>
      </w:r>
    </w:p>
    <w:p w14:paraId="661A4C2F" w14:textId="77777777" w:rsidR="00E079C7" w:rsidRPr="00656794" w:rsidRDefault="00E079C7" w:rsidP="00E079C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30 settembre 2021 _________________________________ ___________________ Brian Morrissey, Data FSAI</w:t>
      </w:r>
    </w:p>
    <w:p w14:paraId="19E987CF" w14:textId="77777777" w:rsidR="00E079C7" w:rsidRPr="00656794" w:rsidRDefault="00E079C7" w:rsidP="00E079C7">
      <w:pPr>
        <w:pStyle w:val="NormalWeb"/>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Attuario Indipendente</w:t>
      </w:r>
    </w:p>
    <w:p w14:paraId="1E34AE85" w14:textId="1710BBC2" w:rsidR="00E079C7" w:rsidRPr="00C01EAD" w:rsidRDefault="00E079C7" w:rsidP="00E079C7">
      <w:pPr>
        <w:pStyle w:val="NormalWeb"/>
        <w:ind w:right="102"/>
        <w:jc w:val="both"/>
        <w:rPr>
          <w:rFonts w:ascii="Arial" w:hAnsi="Arial" w:cs="Arial"/>
          <w:i/>
          <w:iCs/>
          <w:color w:val="000000"/>
          <w:sz w:val="20"/>
          <w:szCs w:val="20"/>
          <w:lang w:val="it-IT"/>
        </w:rPr>
      </w:pPr>
      <w:r w:rsidRPr="00C01EAD">
        <w:rPr>
          <w:rFonts w:ascii="Arial" w:hAnsi="Arial" w:cs="Arial"/>
          <w:i/>
          <w:iCs/>
          <w:color w:val="000000"/>
          <w:sz w:val="20"/>
          <w:szCs w:val="20"/>
          <w:lang w:val="it-IT"/>
        </w:rPr>
        <w:t>KPMG in Irlanda</w:t>
      </w:r>
    </w:p>
    <w:p w14:paraId="77FFB360" w14:textId="27916908" w:rsidR="007E7121" w:rsidRPr="00C01EAD" w:rsidRDefault="007E7121" w:rsidP="00E079C7">
      <w:pPr>
        <w:pStyle w:val="NormalWeb"/>
        <w:ind w:right="102"/>
        <w:jc w:val="both"/>
        <w:rPr>
          <w:rFonts w:ascii="Arial" w:hAnsi="Arial" w:cs="Arial"/>
          <w:i/>
          <w:iCs/>
          <w:color w:val="000000"/>
          <w:sz w:val="20"/>
          <w:szCs w:val="20"/>
          <w:lang w:val="it-IT"/>
        </w:rPr>
      </w:pPr>
    </w:p>
    <w:p w14:paraId="107714D4" w14:textId="4366AFFA" w:rsidR="007E7121" w:rsidRPr="00C01EAD" w:rsidRDefault="007E7121">
      <w:pPr>
        <w:rPr>
          <w:rFonts w:ascii="Arial" w:eastAsia="Times New Roman" w:hAnsi="Arial" w:cs="Arial"/>
          <w:i/>
          <w:iCs/>
          <w:color w:val="000000"/>
          <w:sz w:val="20"/>
          <w:szCs w:val="20"/>
          <w:lang w:val="it-IT" w:eastAsia="en-IE"/>
        </w:rPr>
      </w:pPr>
      <w:r w:rsidRPr="00C01EAD">
        <w:rPr>
          <w:rFonts w:ascii="Arial" w:hAnsi="Arial" w:cs="Arial"/>
          <w:i/>
          <w:iCs/>
          <w:color w:val="000000"/>
          <w:sz w:val="20"/>
          <w:szCs w:val="20"/>
          <w:lang w:val="it-IT"/>
        </w:rPr>
        <w:br w:type="page"/>
      </w:r>
    </w:p>
    <w:p w14:paraId="7103247D" w14:textId="77777777" w:rsidR="007E7121" w:rsidRPr="00C01EAD" w:rsidRDefault="007E7121" w:rsidP="007E7121">
      <w:pPr>
        <w:spacing w:before="473" w:after="0" w:line="240" w:lineRule="auto"/>
        <w:ind w:right="348"/>
        <w:jc w:val="right"/>
        <w:rPr>
          <w:rFonts w:ascii="Times New Roman" w:eastAsia="Times New Roman" w:hAnsi="Times New Roman" w:cs="Times New Roman"/>
          <w:sz w:val="24"/>
          <w:szCs w:val="24"/>
          <w:lang w:val="it-IT" w:eastAsia="en-IE"/>
        </w:rPr>
      </w:pPr>
      <w:r w:rsidRPr="00C01EAD">
        <w:rPr>
          <w:rFonts w:ascii="Arial" w:eastAsia="Times New Roman" w:hAnsi="Arial" w:cs="Arial"/>
          <w:b/>
          <w:bCs/>
          <w:color w:val="00338D"/>
          <w:sz w:val="56"/>
          <w:szCs w:val="56"/>
          <w:lang w:val="it-IT" w:eastAsia="en-IE"/>
        </w:rPr>
        <w:lastRenderedPageBreak/>
        <w:t>3 Zurich Investments Life S.p.A. </w:t>
      </w:r>
    </w:p>
    <w:p w14:paraId="209BBF94" w14:textId="4C0B840E" w:rsidR="007E7121" w:rsidRPr="00656794" w:rsidRDefault="007E7121" w:rsidP="000F279B">
      <w:pPr>
        <w:spacing w:before="509"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3.1 </w:t>
      </w:r>
      <w:r w:rsidR="001D2BA3" w:rsidRPr="00656794">
        <w:rPr>
          <w:rFonts w:ascii="Arial" w:eastAsia="Times New Roman" w:hAnsi="Arial" w:cs="Arial"/>
          <w:b/>
          <w:bCs/>
          <w:color w:val="00338D"/>
          <w:sz w:val="28"/>
          <w:szCs w:val="28"/>
          <w:lang w:val="it-IT" w:eastAsia="en-IE"/>
        </w:rPr>
        <w:t>Panoramica</w:t>
      </w:r>
    </w:p>
    <w:p w14:paraId="75AB356D" w14:textId="0A83FD42"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ZIL è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assicurazione sulla vita con sede a Milano regolamentata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IVASS in Italia. Originariamente costituita nel 1952 con il nome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La Minerva Vita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si è evoluta nel tempo fino al 1999 quando è stata ribattezzata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Zurich Investments Life S.p.A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È autorizzata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a stipulare contratti vita su tutti i rami vita, tra cui:</w:t>
      </w:r>
    </w:p>
    <w:p w14:paraId="442D9AD9" w14:textId="71ECE127"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581149" w:rsidRPr="00656794">
        <w:rPr>
          <w:rFonts w:ascii="Arial" w:hAnsi="Arial" w:cs="Arial"/>
          <w:color w:val="000000"/>
          <w:sz w:val="20"/>
          <w:szCs w:val="20"/>
          <w:lang w:val="it-IT"/>
        </w:rPr>
        <w:t>Ramo</w:t>
      </w:r>
      <w:r w:rsidRPr="00656794">
        <w:rPr>
          <w:rFonts w:ascii="Arial" w:hAnsi="Arial" w:cs="Arial"/>
          <w:color w:val="000000"/>
          <w:sz w:val="20"/>
          <w:szCs w:val="20"/>
          <w:lang w:val="it-IT"/>
        </w:rPr>
        <w:t xml:space="preserve"> I: sulla durata della vita umana (es. contratti a termine);</w:t>
      </w:r>
    </w:p>
    <w:p w14:paraId="249A413D" w14:textId="77777777"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Ramo II: matrimonio, assicurazione sulla nascita;</w:t>
      </w:r>
    </w:p>
    <w:p w14:paraId="4CC582CC" w14:textId="77777777"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Ramo III: assicurazione di cui ai rami I e II i cui principali vantaggi sono direttamente collegati al valore (a) delle quote di un OICVM o (b) del patrimonio di un fondo interno o (c) di un indice o altro riferimento valore (es. contratti unit-linked e index linked);</w:t>
      </w:r>
    </w:p>
    <w:p w14:paraId="5037AA72" w14:textId="709BD527"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581149" w:rsidRPr="00656794">
        <w:rPr>
          <w:rFonts w:ascii="Arial" w:hAnsi="Arial" w:cs="Arial"/>
          <w:color w:val="000000"/>
          <w:sz w:val="20"/>
          <w:szCs w:val="20"/>
          <w:lang w:val="it-IT"/>
        </w:rPr>
        <w:t>Ramo</w:t>
      </w:r>
      <w:r w:rsidRPr="00656794">
        <w:rPr>
          <w:rFonts w:ascii="Arial" w:hAnsi="Arial" w:cs="Arial"/>
          <w:color w:val="000000"/>
          <w:sz w:val="20"/>
          <w:szCs w:val="20"/>
          <w:lang w:val="it-IT"/>
        </w:rPr>
        <w:t xml:space="preserve"> IV: assicurazione sanitaria (es. contratti di assistenza a lungo termine);</w:t>
      </w:r>
    </w:p>
    <w:p w14:paraId="0292A532" w14:textId="19F01944"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581149" w:rsidRPr="00656794">
        <w:rPr>
          <w:rFonts w:ascii="Arial" w:hAnsi="Arial" w:cs="Arial"/>
          <w:color w:val="000000"/>
          <w:sz w:val="20"/>
          <w:szCs w:val="20"/>
          <w:lang w:val="it-IT"/>
        </w:rPr>
        <w:t>Ramo</w:t>
      </w:r>
      <w:r w:rsidRPr="00656794">
        <w:rPr>
          <w:rFonts w:ascii="Arial" w:hAnsi="Arial" w:cs="Arial"/>
          <w:color w:val="000000"/>
          <w:sz w:val="20"/>
          <w:szCs w:val="20"/>
          <w:lang w:val="it-IT"/>
        </w:rPr>
        <w:t xml:space="preserve"> V: operazioni di capitalizzazione; e</w:t>
      </w:r>
    </w:p>
    <w:p w14:paraId="4ED8111B" w14:textId="452460DE"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w:t>
      </w:r>
      <w:r w:rsidR="00F616EB"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Ramo VI: gestione di fondi pensione collettivi che effettuano pagamenti in caso di morte o sopravvivenza o in caso di cessazione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attività lavorativa (es. fondo pensione).</w:t>
      </w:r>
    </w:p>
    <w:p w14:paraId="785331A6" w14:textId="231D93F1"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È </w:t>
      </w:r>
      <w:r w:rsidR="008A4E09">
        <w:rPr>
          <w:rFonts w:ascii="Arial" w:hAnsi="Arial" w:cs="Arial"/>
          <w:color w:val="000000"/>
          <w:sz w:val="20"/>
          <w:szCs w:val="20"/>
          <w:lang w:val="it-IT"/>
        </w:rPr>
        <w:t>controllata</w:t>
      </w:r>
      <w:r w:rsidR="008A4E09"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al 100% da ZIC attraverso la sua </w:t>
      </w:r>
      <w:r w:rsidR="005A3D91">
        <w:rPr>
          <w:rFonts w:ascii="Arial" w:hAnsi="Arial" w:cs="Arial"/>
          <w:color w:val="000000"/>
          <w:sz w:val="20"/>
          <w:szCs w:val="20"/>
          <w:lang w:val="it-IT"/>
        </w:rPr>
        <w:t>branch</w:t>
      </w:r>
      <w:r w:rsidRPr="00656794">
        <w:rPr>
          <w:rFonts w:ascii="Arial" w:hAnsi="Arial" w:cs="Arial"/>
          <w:color w:val="000000"/>
          <w:sz w:val="20"/>
          <w:szCs w:val="20"/>
          <w:lang w:val="it-IT"/>
        </w:rPr>
        <w:t xml:space="preserve"> italiana. La società fa parte di Zurich Insurance Group Ltd, un fornitore </w:t>
      </w:r>
      <w:r w:rsidR="008A4E09">
        <w:rPr>
          <w:rFonts w:ascii="Arial" w:hAnsi="Arial" w:cs="Arial"/>
          <w:color w:val="000000"/>
          <w:sz w:val="20"/>
          <w:szCs w:val="20"/>
          <w:lang w:val="it-IT"/>
        </w:rPr>
        <w:t xml:space="preserve">svizzero </w:t>
      </w:r>
      <w:r w:rsidRPr="00656794">
        <w:rPr>
          <w:rFonts w:ascii="Arial" w:hAnsi="Arial" w:cs="Arial"/>
          <w:color w:val="000000"/>
          <w:sz w:val="20"/>
          <w:szCs w:val="20"/>
          <w:lang w:val="it-IT"/>
        </w:rPr>
        <w:t>di servizi assicurativi con una rete globale che concentra le sue attività nei mercati nordamericano ed europeo, con sede a Zurigo e quotato alla borsa svizzera.</w:t>
      </w:r>
    </w:p>
    <w:p w14:paraId="533D833B" w14:textId="16903081" w:rsidR="007E7121" w:rsidRPr="00656794" w:rsidRDefault="007E7121" w:rsidP="000F279B">
      <w:pPr>
        <w:spacing w:before="281"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3.2 Natur</w:t>
      </w:r>
      <w:r w:rsidR="002D5695" w:rsidRPr="00656794">
        <w:rPr>
          <w:rFonts w:ascii="Arial" w:eastAsia="Times New Roman" w:hAnsi="Arial" w:cs="Arial"/>
          <w:b/>
          <w:bCs/>
          <w:color w:val="00338D"/>
          <w:sz w:val="28"/>
          <w:szCs w:val="28"/>
          <w:lang w:val="it-IT" w:eastAsia="en-IE"/>
        </w:rPr>
        <w:t>a dell</w:t>
      </w:r>
      <w:r w:rsidR="00F23A40" w:rsidRPr="00656794">
        <w:rPr>
          <w:rFonts w:ascii="Arial" w:eastAsia="Times New Roman" w:hAnsi="Arial" w:cs="Arial"/>
          <w:b/>
          <w:bCs/>
          <w:color w:val="00338D"/>
          <w:sz w:val="28"/>
          <w:szCs w:val="28"/>
          <w:lang w:val="it-IT" w:eastAsia="en-IE"/>
        </w:rPr>
        <w:t>’</w:t>
      </w:r>
      <w:r w:rsidR="002D5695" w:rsidRPr="00656794">
        <w:rPr>
          <w:rFonts w:ascii="Arial" w:eastAsia="Times New Roman" w:hAnsi="Arial" w:cs="Arial"/>
          <w:b/>
          <w:bCs/>
          <w:color w:val="00338D"/>
          <w:sz w:val="28"/>
          <w:szCs w:val="28"/>
          <w:lang w:val="it-IT" w:eastAsia="en-IE"/>
        </w:rPr>
        <w:t xml:space="preserve">attività </w:t>
      </w:r>
      <w:r w:rsidR="001E2784">
        <w:rPr>
          <w:rFonts w:ascii="Arial" w:eastAsia="Times New Roman" w:hAnsi="Arial" w:cs="Arial"/>
          <w:b/>
          <w:bCs/>
          <w:color w:val="00338D"/>
          <w:sz w:val="28"/>
          <w:szCs w:val="28"/>
          <w:lang w:val="it-IT" w:eastAsia="en-IE"/>
        </w:rPr>
        <w:t>sotto</w:t>
      </w:r>
      <w:r w:rsidR="002D5695" w:rsidRPr="00656794">
        <w:rPr>
          <w:rFonts w:ascii="Arial" w:eastAsia="Times New Roman" w:hAnsi="Arial" w:cs="Arial"/>
          <w:b/>
          <w:bCs/>
          <w:color w:val="00338D"/>
          <w:sz w:val="28"/>
          <w:szCs w:val="28"/>
          <w:lang w:val="it-IT" w:eastAsia="en-IE"/>
        </w:rPr>
        <w:t>scritta</w:t>
      </w:r>
    </w:p>
    <w:p w14:paraId="54170490" w14:textId="24A9056A"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ZIL ha attualmente 17,4 miliardi di euro di passività assicurative Solvency II in relazione a polizze di risparmio / protezione /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e oltre 453 mila polizze in vigore. La società ha ricevuto oltre 2,5 miliardi di euro di premi netti nel 2020. Questi dettagli sono raccolti nelle tabelle 3.1 e 3.2 di seguito.</w:t>
      </w:r>
    </w:p>
    <w:p w14:paraId="663348CB" w14:textId="24DC64AC" w:rsidR="007E7121" w:rsidRPr="00656794" w:rsidRDefault="007E7121" w:rsidP="00632D2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ZIL distribuisce i suoi prodotti attraverso molteplici canali di </w:t>
      </w:r>
      <w:r w:rsidR="002D5695" w:rsidRPr="00656794">
        <w:rPr>
          <w:rFonts w:ascii="Arial" w:hAnsi="Arial" w:cs="Arial"/>
          <w:color w:val="000000"/>
          <w:sz w:val="20"/>
          <w:szCs w:val="20"/>
          <w:lang w:val="it-IT"/>
        </w:rPr>
        <w:t>distribuzione,</w:t>
      </w:r>
      <w:r w:rsidRPr="00656794">
        <w:rPr>
          <w:rFonts w:ascii="Arial" w:hAnsi="Arial" w:cs="Arial"/>
          <w:color w:val="000000"/>
          <w:sz w:val="20"/>
          <w:szCs w:val="20"/>
          <w:lang w:val="it-IT"/>
        </w:rPr>
        <w:t xml:space="preserve"> tra cui una rete di agenzie, broker, canali bancari e consulenti finanziari.</w:t>
      </w:r>
    </w:p>
    <w:tbl>
      <w:tblPr>
        <w:tblW w:w="9062" w:type="dxa"/>
        <w:tblCellMar>
          <w:top w:w="15" w:type="dxa"/>
          <w:left w:w="15" w:type="dxa"/>
          <w:bottom w:w="15" w:type="dxa"/>
          <w:right w:w="15" w:type="dxa"/>
        </w:tblCellMar>
        <w:tblLook w:val="04A0" w:firstRow="1" w:lastRow="0" w:firstColumn="1" w:lastColumn="0" w:noHBand="0" w:noVBand="1"/>
      </w:tblPr>
      <w:tblGrid>
        <w:gridCol w:w="2919"/>
        <w:gridCol w:w="3021"/>
        <w:gridCol w:w="3122"/>
      </w:tblGrid>
      <w:tr w:rsidR="00632D24" w:rsidRPr="00B84464" w14:paraId="079106B4" w14:textId="77777777" w:rsidTr="00130A9C">
        <w:trPr>
          <w:trHeight w:val="93"/>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tcPr>
          <w:p w14:paraId="63B08FFF" w14:textId="010AF7F5" w:rsidR="00632D24" w:rsidRPr="00656794" w:rsidRDefault="00632D24" w:rsidP="00130A9C">
            <w:pPr>
              <w:spacing w:before="98" w:after="0" w:line="240" w:lineRule="auto"/>
              <w:ind w:right="1004"/>
              <w:rPr>
                <w:rFonts w:ascii="Arial" w:eastAsia="Times New Roman" w:hAnsi="Arial" w:cs="Arial"/>
                <w:color w:val="FFFFFF" w:themeColor="background1"/>
                <w:sz w:val="20"/>
                <w:szCs w:val="20"/>
                <w:lang w:val="it-IT" w:eastAsia="en-IE"/>
              </w:rPr>
            </w:pPr>
            <w:r w:rsidRPr="00656794">
              <w:rPr>
                <w:rFonts w:ascii="Arial" w:eastAsia="Times New Roman" w:hAnsi="Arial" w:cs="Arial"/>
                <w:color w:val="FFFFFF" w:themeColor="background1"/>
                <w:sz w:val="20"/>
                <w:szCs w:val="20"/>
                <w:lang w:val="it-IT" w:eastAsia="en-IE"/>
              </w:rPr>
              <w:t>Tabella 3.1: ZIL Premi Netti Guadagnati - €m</w:t>
            </w:r>
          </w:p>
        </w:tc>
      </w:tr>
      <w:tr w:rsidR="00632D24" w:rsidRPr="00656794" w14:paraId="1B8A281C" w14:textId="77777777" w:rsidTr="00632D24">
        <w:trPr>
          <w:trHeight w:val="314"/>
        </w:trPr>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5F62682A" w14:textId="64CAAFD7" w:rsidR="00632D24" w:rsidRPr="00656794" w:rsidRDefault="00272A18" w:rsidP="00E44D95">
            <w:pPr>
              <w:spacing w:after="0" w:line="240" w:lineRule="auto"/>
              <w:ind w:left="132"/>
              <w:rPr>
                <w:rFonts w:ascii="Arial" w:hAnsi="Arial" w:cs="Arial"/>
                <w:b/>
                <w:bCs/>
                <w:sz w:val="20"/>
                <w:szCs w:val="20"/>
                <w:lang w:val="it-IT"/>
              </w:rPr>
            </w:pPr>
            <w:r w:rsidRPr="00656794">
              <w:rPr>
                <w:rFonts w:ascii="Arial" w:eastAsia="Times New Roman" w:hAnsi="Arial" w:cs="Arial"/>
                <w:b/>
                <w:bCs/>
                <w:color w:val="000000"/>
                <w:sz w:val="20"/>
                <w:szCs w:val="20"/>
                <w:lang w:val="it-IT" w:eastAsia="en-IE"/>
              </w:rPr>
              <w:t>Linea di attività</w:t>
            </w:r>
          </w:p>
        </w:tc>
        <w:tc>
          <w:tcPr>
            <w:tcW w:w="288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5D4301ED" w14:textId="0578FB60" w:rsidR="00632D24" w:rsidRPr="00656794" w:rsidRDefault="00632D24" w:rsidP="00E44D95">
            <w:pPr>
              <w:spacing w:after="0" w:line="240" w:lineRule="auto"/>
              <w:jc w:val="center"/>
              <w:rPr>
                <w:rFonts w:ascii="Arial" w:eastAsia="Times New Roman" w:hAnsi="Arial" w:cs="Arial"/>
                <w:b/>
                <w:bCs/>
                <w:color w:val="000000"/>
                <w:sz w:val="18"/>
                <w:szCs w:val="18"/>
                <w:shd w:val="clear" w:color="auto" w:fill="FFFFFF"/>
                <w:lang w:val="it-IT" w:eastAsia="en-IE"/>
              </w:rPr>
            </w:pPr>
            <w:r w:rsidRPr="00656794">
              <w:rPr>
                <w:rFonts w:ascii="Arial" w:eastAsia="Times New Roman" w:hAnsi="Arial" w:cs="Arial"/>
                <w:b/>
                <w:bCs/>
                <w:color w:val="000000"/>
                <w:sz w:val="20"/>
                <w:szCs w:val="20"/>
                <w:lang w:val="it-IT" w:eastAsia="en-IE"/>
              </w:rPr>
              <w:t>31 dicembre 2020</w:t>
            </w:r>
          </w:p>
        </w:tc>
        <w:tc>
          <w:tcPr>
            <w:tcW w:w="297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6EADC5CC" w14:textId="24554E07" w:rsidR="00632D24" w:rsidRPr="00656794" w:rsidRDefault="00632D24" w:rsidP="00E44D95">
            <w:pPr>
              <w:spacing w:after="0" w:line="240" w:lineRule="auto"/>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20"/>
                <w:szCs w:val="20"/>
                <w:lang w:val="it-IT" w:eastAsia="en-IE"/>
              </w:rPr>
              <w:t>30 giugno 2021</w:t>
            </w:r>
          </w:p>
        </w:tc>
      </w:tr>
      <w:tr w:rsidR="00E44D95" w:rsidRPr="00656794" w14:paraId="3FC9D12C" w14:textId="77777777" w:rsidTr="00632D24">
        <w:trPr>
          <w:trHeight w:val="3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C741A" w14:textId="5F75B355" w:rsidR="00E44D95" w:rsidRPr="00656794" w:rsidRDefault="00E44D95" w:rsidP="00E44D95">
            <w:pPr>
              <w:spacing w:after="0" w:line="240" w:lineRule="auto"/>
              <w:ind w:left="132"/>
              <w:rPr>
                <w:rFonts w:ascii="Arial" w:eastAsia="Times New Roman" w:hAnsi="Arial" w:cs="Arial"/>
                <w:sz w:val="20"/>
                <w:szCs w:val="20"/>
                <w:lang w:val="it-IT" w:eastAsia="en-IE"/>
              </w:rPr>
            </w:pPr>
            <w:r w:rsidRPr="00656794">
              <w:rPr>
                <w:rFonts w:ascii="Arial" w:hAnsi="Arial" w:cs="Arial"/>
                <w:sz w:val="20"/>
                <w:szCs w:val="20"/>
                <w:lang w:val="it-IT"/>
              </w:rPr>
              <w:t>Assicurazione sanitaria</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EF9EA" w14:textId="5F5857BE" w:rsidR="00E44D95" w:rsidRPr="00656794" w:rsidRDefault="00E44D95" w:rsidP="00E44D9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1,5 </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65222" w14:textId="19E57E19" w:rsidR="00E44D95" w:rsidRPr="00656794" w:rsidRDefault="00E44D95" w:rsidP="00E44D9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3,4</w:t>
            </w:r>
          </w:p>
        </w:tc>
      </w:tr>
      <w:tr w:rsidR="00E44D95" w:rsidRPr="00656794" w14:paraId="554A3905" w14:textId="77777777" w:rsidTr="00632D24">
        <w:trPr>
          <w:trHeight w:val="3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A5143" w14:textId="40C15B65" w:rsidR="00E44D95" w:rsidRPr="00656794" w:rsidRDefault="00E44D95" w:rsidP="00E44D95">
            <w:pPr>
              <w:spacing w:after="0" w:line="240" w:lineRule="auto"/>
              <w:ind w:left="120"/>
              <w:rPr>
                <w:rFonts w:ascii="Arial" w:eastAsia="Times New Roman" w:hAnsi="Arial" w:cs="Arial"/>
                <w:sz w:val="20"/>
                <w:szCs w:val="20"/>
                <w:lang w:val="it-IT" w:eastAsia="en-IE"/>
              </w:rPr>
            </w:pPr>
            <w:r w:rsidRPr="00656794">
              <w:rPr>
                <w:rFonts w:ascii="Arial" w:hAnsi="Arial" w:cs="Arial"/>
                <w:sz w:val="20"/>
                <w:szCs w:val="20"/>
                <w:lang w:val="it-IT"/>
              </w:rPr>
              <w:t xml:space="preserve">Assicurazione </w:t>
            </w:r>
            <w:r w:rsidR="00446E83">
              <w:rPr>
                <w:rFonts w:ascii="Arial" w:hAnsi="Arial" w:cs="Arial"/>
                <w:sz w:val="20"/>
                <w:szCs w:val="20"/>
                <w:lang w:val="it-IT"/>
              </w:rPr>
              <w:t>con profitto</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C4DBB" w14:textId="5388D596" w:rsidR="00E44D95" w:rsidRPr="00656794" w:rsidRDefault="00E44D95" w:rsidP="00E44D9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1.345,6 </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EE955" w14:textId="2609D9F3" w:rsidR="00E44D95" w:rsidRPr="00656794" w:rsidRDefault="00E44D95" w:rsidP="00E44D9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522,3</w:t>
            </w:r>
          </w:p>
        </w:tc>
      </w:tr>
      <w:tr w:rsidR="00E44D95" w:rsidRPr="00656794" w14:paraId="4457CEA2" w14:textId="77777777" w:rsidTr="00632D24">
        <w:trPr>
          <w:trHeight w:val="3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A582D" w14:textId="54DBF92C" w:rsidR="00E44D95" w:rsidRPr="00656794" w:rsidRDefault="00E44D95" w:rsidP="00E44D95">
            <w:pPr>
              <w:spacing w:after="0" w:line="240" w:lineRule="auto"/>
              <w:ind w:left="132"/>
              <w:rPr>
                <w:rFonts w:ascii="Arial" w:eastAsia="Times New Roman" w:hAnsi="Arial" w:cs="Arial"/>
                <w:sz w:val="20"/>
                <w:szCs w:val="20"/>
                <w:lang w:val="it-IT" w:eastAsia="en-IE"/>
              </w:rPr>
            </w:pPr>
            <w:r w:rsidRPr="00656794">
              <w:rPr>
                <w:rFonts w:ascii="Arial" w:hAnsi="Arial" w:cs="Arial"/>
                <w:sz w:val="20"/>
                <w:szCs w:val="20"/>
                <w:lang w:val="it-IT"/>
              </w:rPr>
              <w:t xml:space="preserve">Assicurazione </w:t>
            </w:r>
            <w:r w:rsidR="00390973" w:rsidRPr="00656794">
              <w:rPr>
                <w:rFonts w:ascii="Arial" w:eastAsia="Times New Roman" w:hAnsi="Arial" w:cs="Arial"/>
                <w:color w:val="000000"/>
                <w:sz w:val="18"/>
                <w:szCs w:val="18"/>
                <w:shd w:val="clear" w:color="auto" w:fill="FFFFFF"/>
                <w:lang w:val="it-IT" w:eastAsia="en-IE"/>
              </w:rPr>
              <w:t>Unit-linked</w:t>
            </w:r>
            <w:r w:rsidRPr="00656794">
              <w:rPr>
                <w:rFonts w:ascii="Arial" w:hAnsi="Arial" w:cs="Arial"/>
                <w:sz w:val="20"/>
                <w:szCs w:val="20"/>
                <w:lang w:val="it-IT"/>
              </w:rPr>
              <w:t xml:space="preserve"> </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56447" w14:textId="20A06D80" w:rsidR="00E44D95" w:rsidRPr="00656794" w:rsidRDefault="00E44D95" w:rsidP="00E44D9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1.143,9 </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4DEE5" w14:textId="558C6ABE" w:rsidR="00E44D95" w:rsidRPr="00656794" w:rsidRDefault="00E44D95" w:rsidP="00E44D9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681,7</w:t>
            </w:r>
          </w:p>
        </w:tc>
      </w:tr>
      <w:tr w:rsidR="00E44D95" w:rsidRPr="00656794" w14:paraId="5208224B" w14:textId="77777777" w:rsidTr="00632D24">
        <w:trPr>
          <w:trHeight w:val="3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EF5B7" w14:textId="02D61609" w:rsidR="00E44D95" w:rsidRPr="00656794" w:rsidRDefault="00E44D95" w:rsidP="00E44D95">
            <w:pPr>
              <w:spacing w:after="0" w:line="240" w:lineRule="auto"/>
              <w:ind w:left="126"/>
              <w:rPr>
                <w:rFonts w:ascii="Arial" w:eastAsia="Times New Roman" w:hAnsi="Arial" w:cs="Arial"/>
                <w:sz w:val="20"/>
                <w:szCs w:val="20"/>
                <w:lang w:val="it-IT" w:eastAsia="en-IE"/>
              </w:rPr>
            </w:pPr>
            <w:r w:rsidRPr="00656794">
              <w:rPr>
                <w:rFonts w:ascii="Arial" w:hAnsi="Arial" w:cs="Arial"/>
                <w:sz w:val="20"/>
                <w:szCs w:val="20"/>
                <w:lang w:val="it-IT"/>
              </w:rPr>
              <w:t>Altre assicurazioni sulla vita</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557A8" w14:textId="6D07181F" w:rsidR="00E44D95" w:rsidRPr="00656794" w:rsidRDefault="00E44D95" w:rsidP="00E44D9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61,1 </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08A59" w14:textId="0881A114" w:rsidR="00E44D95" w:rsidRPr="00656794" w:rsidRDefault="00E44D95" w:rsidP="00E44D9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46,9</w:t>
            </w:r>
          </w:p>
        </w:tc>
      </w:tr>
      <w:tr w:rsidR="00E44D95" w:rsidRPr="00656794" w14:paraId="623583D4" w14:textId="77777777" w:rsidTr="00632D24">
        <w:trPr>
          <w:trHeight w:val="3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8664C" w14:textId="350E0DD5" w:rsidR="00E44D95" w:rsidRPr="00656794" w:rsidRDefault="00E44D95" w:rsidP="00E44D95">
            <w:pPr>
              <w:spacing w:after="0" w:line="240" w:lineRule="auto"/>
              <w:ind w:left="121"/>
              <w:rPr>
                <w:rFonts w:ascii="Arial" w:eastAsia="Times New Roman" w:hAnsi="Arial" w:cs="Arial"/>
                <w:b/>
                <w:bCs/>
                <w:sz w:val="20"/>
                <w:szCs w:val="20"/>
                <w:lang w:val="it-IT" w:eastAsia="en-IE"/>
              </w:rPr>
            </w:pPr>
            <w:r w:rsidRPr="00656794">
              <w:rPr>
                <w:rFonts w:ascii="Arial" w:hAnsi="Arial" w:cs="Arial"/>
                <w:b/>
                <w:bCs/>
                <w:sz w:val="20"/>
                <w:szCs w:val="20"/>
                <w:lang w:val="it-IT"/>
              </w:rPr>
              <w:t>Totale</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93D49" w14:textId="57690EDA" w:rsidR="00E44D95" w:rsidRPr="00656794" w:rsidRDefault="00E44D95" w:rsidP="00E44D9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2.552,1 </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104E3" w14:textId="17DC39B0" w:rsidR="00E44D95" w:rsidRPr="00656794" w:rsidRDefault="00E44D95" w:rsidP="00E44D9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lang w:val="it-IT" w:eastAsia="en-IE"/>
              </w:rPr>
              <w:t>1.254,3</w:t>
            </w:r>
          </w:p>
        </w:tc>
      </w:tr>
    </w:tbl>
    <w:p w14:paraId="2BE385EB" w14:textId="5578D2F2" w:rsidR="000F279B" w:rsidRPr="00656794" w:rsidRDefault="007052A0" w:rsidP="000F279B">
      <w:pPr>
        <w:spacing w:before="328" w:after="0" w:line="240" w:lineRule="auto"/>
        <w:rPr>
          <w:rFonts w:ascii="Arial" w:eastAsia="Times New Roman" w:hAnsi="Arial" w:cs="Arial"/>
          <w:b/>
          <w:bCs/>
          <w:color w:val="FFFFFF"/>
          <w:sz w:val="18"/>
          <w:szCs w:val="18"/>
          <w:shd w:val="clear" w:color="auto" w:fill="00338D"/>
          <w:lang w:val="it-IT" w:eastAsia="en-IE"/>
        </w:rPr>
      </w:pPr>
      <w:r w:rsidRPr="00656794">
        <w:rPr>
          <w:rFonts w:ascii="Arial" w:eastAsia="Times New Roman" w:hAnsi="Arial" w:cs="Arial"/>
          <w:color w:val="000000"/>
          <w:sz w:val="12"/>
          <w:szCs w:val="12"/>
          <w:shd w:val="clear" w:color="auto" w:fill="FFFFFF"/>
          <w:lang w:val="it-IT" w:eastAsia="en-IE"/>
        </w:rPr>
        <w:lastRenderedPageBreak/>
        <w:t>Fonte: RSR 2020 e QRT 21° trimestre</w:t>
      </w:r>
      <w:r w:rsidRPr="00656794">
        <w:rPr>
          <w:rFonts w:ascii="Arial" w:eastAsia="Times New Roman" w:hAnsi="Arial" w:cs="Arial"/>
          <w:b/>
          <w:bCs/>
          <w:color w:val="FFFFFF"/>
          <w:sz w:val="18"/>
          <w:szCs w:val="18"/>
          <w:shd w:val="clear" w:color="auto" w:fill="00338D"/>
          <w:lang w:val="it-IT" w:eastAsia="en-IE"/>
        </w:rPr>
        <w:t xml:space="preserve"> </w:t>
      </w:r>
    </w:p>
    <w:p w14:paraId="29659ADF" w14:textId="77777777" w:rsidR="00632D24" w:rsidRPr="00656794" w:rsidRDefault="00632D24" w:rsidP="00632D24">
      <w:pPr>
        <w:spacing w:after="0" w:line="240" w:lineRule="auto"/>
        <w:ind w:right="879"/>
        <w:rPr>
          <w:rFonts w:ascii="Times New Roman" w:eastAsia="Times New Roman" w:hAnsi="Times New Roman" w:cs="Times New Roman"/>
          <w:sz w:val="24"/>
          <w:szCs w:val="24"/>
          <w:lang w:val="it-IT" w:eastAsia="en-IE"/>
        </w:rPr>
      </w:pPr>
    </w:p>
    <w:tbl>
      <w:tblPr>
        <w:tblW w:w="9062" w:type="dxa"/>
        <w:tblCellMar>
          <w:top w:w="15" w:type="dxa"/>
          <w:left w:w="15" w:type="dxa"/>
          <w:bottom w:w="15" w:type="dxa"/>
          <w:right w:w="15" w:type="dxa"/>
        </w:tblCellMar>
        <w:tblLook w:val="04A0" w:firstRow="1" w:lastRow="0" w:firstColumn="1" w:lastColumn="0" w:noHBand="0" w:noVBand="1"/>
      </w:tblPr>
      <w:tblGrid>
        <w:gridCol w:w="2825"/>
        <w:gridCol w:w="1560"/>
        <w:gridCol w:w="1275"/>
        <w:gridCol w:w="1843"/>
        <w:gridCol w:w="1559"/>
      </w:tblGrid>
      <w:tr w:rsidR="00632D24" w:rsidRPr="00B84464" w14:paraId="3870DCC9" w14:textId="77777777" w:rsidTr="000F279B">
        <w:trPr>
          <w:trHeight w:val="281"/>
        </w:trPr>
        <w:tc>
          <w:tcPr>
            <w:tcW w:w="9062" w:type="dxa"/>
            <w:gridSpan w:val="5"/>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tcPr>
          <w:p w14:paraId="7CCF515A" w14:textId="0A06ACC6" w:rsidR="00632D24" w:rsidRPr="00656794" w:rsidRDefault="00632D24" w:rsidP="000F279B">
            <w:pPr>
              <w:spacing w:before="98" w:after="0" w:line="240" w:lineRule="auto"/>
              <w:ind w:right="1004"/>
              <w:rPr>
                <w:rFonts w:ascii="Arial" w:eastAsia="Times New Roman" w:hAnsi="Arial" w:cs="Arial"/>
                <w:color w:val="FFFFFF" w:themeColor="background1"/>
                <w:sz w:val="20"/>
                <w:szCs w:val="20"/>
                <w:lang w:val="it-IT" w:eastAsia="en-IE"/>
              </w:rPr>
            </w:pPr>
            <w:r w:rsidRPr="00656794">
              <w:rPr>
                <w:rFonts w:ascii="Arial" w:eastAsia="Times New Roman" w:hAnsi="Arial" w:cs="Arial"/>
                <w:color w:val="FFFFFF" w:themeColor="background1"/>
                <w:sz w:val="20"/>
                <w:szCs w:val="20"/>
                <w:lang w:val="it-IT" w:eastAsia="en-IE"/>
              </w:rPr>
              <w:t xml:space="preserve">Tabella 3.2(a): Somma ZIL assicurata e conteggio della polizza - </w:t>
            </w:r>
            <w:r w:rsidR="00130A9C" w:rsidRPr="00656794">
              <w:rPr>
                <w:rFonts w:ascii="Arial" w:eastAsia="Times New Roman" w:hAnsi="Arial" w:cs="Arial"/>
                <w:color w:val="FFFFFF" w:themeColor="background1"/>
                <w:sz w:val="20"/>
                <w:szCs w:val="20"/>
                <w:lang w:val="it-IT" w:eastAsia="en-IE"/>
              </w:rPr>
              <w:t>dicembre</w:t>
            </w:r>
            <w:r w:rsidRPr="00656794">
              <w:rPr>
                <w:rFonts w:ascii="Arial" w:eastAsia="Times New Roman" w:hAnsi="Arial" w:cs="Arial"/>
                <w:color w:val="FFFFFF" w:themeColor="background1"/>
                <w:sz w:val="20"/>
                <w:szCs w:val="20"/>
                <w:lang w:val="it-IT" w:eastAsia="en-IE"/>
              </w:rPr>
              <w:t xml:space="preserve"> 2020</w:t>
            </w:r>
          </w:p>
        </w:tc>
      </w:tr>
      <w:tr w:rsidR="00632D24" w:rsidRPr="00656794" w14:paraId="5241ABCF" w14:textId="77777777" w:rsidTr="00130A9C">
        <w:trPr>
          <w:trHeight w:val="622"/>
        </w:trPr>
        <w:tc>
          <w:tcPr>
            <w:tcW w:w="28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163364AE" w14:textId="290E77B9" w:rsidR="00632D24" w:rsidRPr="00656794" w:rsidRDefault="00CF0AEA" w:rsidP="000F279B">
            <w:pPr>
              <w:spacing w:after="0" w:line="240" w:lineRule="auto"/>
              <w:ind w:left="132"/>
              <w:rPr>
                <w:rFonts w:ascii="Arial" w:eastAsia="Times New Roman" w:hAnsi="Arial" w:cs="Arial"/>
                <w:b/>
                <w:bCs/>
                <w:color w:val="000000"/>
                <w:sz w:val="16"/>
                <w:szCs w:val="16"/>
                <w:lang w:val="it-IT" w:eastAsia="en-IE"/>
              </w:rPr>
            </w:pPr>
            <w:r w:rsidRPr="00656794">
              <w:rPr>
                <w:rFonts w:ascii="Arial" w:eastAsia="Times New Roman" w:hAnsi="Arial" w:cs="Arial"/>
                <w:b/>
                <w:bCs/>
                <w:color w:val="000000"/>
                <w:sz w:val="16"/>
                <w:szCs w:val="16"/>
                <w:lang w:val="it-IT" w:eastAsia="en-IE"/>
              </w:rPr>
              <w:t>Linea di attività</w:t>
            </w:r>
          </w:p>
        </w:tc>
        <w:tc>
          <w:tcPr>
            <w:tcW w:w="15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4CAA21E1" w14:textId="70851CB2" w:rsidR="00632D24" w:rsidRPr="00656794" w:rsidRDefault="00632D24" w:rsidP="00130A9C">
            <w:pPr>
              <w:spacing w:after="0" w:line="240" w:lineRule="auto"/>
              <w:rPr>
                <w:rFonts w:ascii="Arial" w:eastAsia="Times New Roman" w:hAnsi="Arial" w:cs="Arial"/>
                <w:b/>
                <w:bCs/>
                <w:color w:val="000000"/>
                <w:sz w:val="16"/>
                <w:szCs w:val="16"/>
                <w:lang w:val="it-IT" w:eastAsia="en-IE"/>
              </w:rPr>
            </w:pPr>
            <w:r w:rsidRPr="00656794">
              <w:rPr>
                <w:rFonts w:ascii="Arial" w:eastAsia="Times New Roman" w:hAnsi="Arial" w:cs="Arial"/>
                <w:b/>
                <w:bCs/>
                <w:color w:val="000000"/>
                <w:sz w:val="16"/>
                <w:szCs w:val="16"/>
                <w:lang w:val="it-IT" w:eastAsia="en-IE"/>
              </w:rPr>
              <w:t>Conteggio</w:t>
            </w:r>
            <w:r w:rsidR="000F7803" w:rsidRPr="00656794">
              <w:rPr>
                <w:rFonts w:ascii="Arial" w:eastAsia="Times New Roman" w:hAnsi="Arial" w:cs="Arial"/>
                <w:b/>
                <w:bCs/>
                <w:color w:val="000000"/>
                <w:sz w:val="16"/>
                <w:szCs w:val="16"/>
                <w:lang w:val="it-IT" w:eastAsia="en-IE"/>
              </w:rPr>
              <w:t xml:space="preserve"> </w:t>
            </w:r>
            <w:r w:rsidRPr="00656794">
              <w:rPr>
                <w:rFonts w:ascii="Arial" w:eastAsia="Times New Roman" w:hAnsi="Arial" w:cs="Arial"/>
                <w:b/>
                <w:bCs/>
                <w:color w:val="000000"/>
                <w:sz w:val="16"/>
                <w:szCs w:val="16"/>
                <w:lang w:val="it-IT" w:eastAsia="en-IE"/>
              </w:rPr>
              <w:t>Polizza</w:t>
            </w:r>
          </w:p>
        </w:tc>
        <w:tc>
          <w:tcPr>
            <w:tcW w:w="127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35E29732" w14:textId="42F1E604" w:rsidR="00632D24" w:rsidRPr="00656794" w:rsidRDefault="006D0CEC" w:rsidP="00130A9C">
            <w:pPr>
              <w:spacing w:after="0" w:line="240" w:lineRule="auto"/>
              <w:rPr>
                <w:rFonts w:ascii="Arial" w:eastAsia="Times New Roman" w:hAnsi="Arial" w:cs="Arial"/>
                <w:b/>
                <w:bCs/>
                <w:color w:val="000000"/>
                <w:sz w:val="16"/>
                <w:szCs w:val="16"/>
                <w:lang w:val="it-IT" w:eastAsia="en-IE"/>
              </w:rPr>
            </w:pPr>
            <w:r w:rsidRPr="00656794">
              <w:rPr>
                <w:rFonts w:ascii="Arial" w:eastAsia="Times New Roman" w:hAnsi="Arial" w:cs="Arial"/>
                <w:b/>
                <w:bCs/>
                <w:color w:val="000000"/>
                <w:sz w:val="16"/>
                <w:szCs w:val="16"/>
                <w:lang w:val="it-IT" w:eastAsia="en-IE"/>
              </w:rPr>
              <w:t>Premi lordi contabilizzati</w:t>
            </w:r>
            <w:r w:rsidR="000F279B" w:rsidRPr="00656794">
              <w:rPr>
                <w:rFonts w:ascii="Arial" w:eastAsia="Times New Roman" w:hAnsi="Arial" w:cs="Arial"/>
                <w:b/>
                <w:bCs/>
                <w:color w:val="000000"/>
                <w:sz w:val="16"/>
                <w:szCs w:val="16"/>
                <w:lang w:val="it-IT" w:eastAsia="en-IE"/>
              </w:rPr>
              <w:t xml:space="preserve"> (milioni di euro)</w:t>
            </w:r>
          </w:p>
        </w:tc>
        <w:tc>
          <w:tcPr>
            <w:tcW w:w="18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50CF2690" w14:textId="141ACFC7" w:rsidR="00632D24" w:rsidRPr="00656794" w:rsidRDefault="000F279B" w:rsidP="00130A9C">
            <w:pPr>
              <w:spacing w:after="0" w:line="240" w:lineRule="auto"/>
              <w:jc w:val="center"/>
              <w:rPr>
                <w:rFonts w:ascii="Arial" w:eastAsia="Times New Roman" w:hAnsi="Arial" w:cs="Arial"/>
                <w:b/>
                <w:bCs/>
                <w:color w:val="000000"/>
                <w:sz w:val="16"/>
                <w:szCs w:val="16"/>
                <w:lang w:val="it-IT" w:eastAsia="en-IE"/>
              </w:rPr>
            </w:pPr>
            <w:r w:rsidRPr="00656794">
              <w:rPr>
                <w:rFonts w:ascii="Arial" w:eastAsia="Times New Roman" w:hAnsi="Arial" w:cs="Arial"/>
                <w:b/>
                <w:bCs/>
                <w:color w:val="000000"/>
                <w:sz w:val="16"/>
                <w:szCs w:val="16"/>
                <w:lang w:val="it-IT" w:eastAsia="en-IE"/>
              </w:rPr>
              <w:t>Capitale a rischio (milioni di euro)</w:t>
            </w:r>
          </w:p>
        </w:tc>
        <w:tc>
          <w:tcPr>
            <w:tcW w:w="15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4D310B06" w14:textId="77777777" w:rsidR="000F279B" w:rsidRPr="00656794" w:rsidRDefault="000F279B" w:rsidP="00130A9C">
            <w:pPr>
              <w:spacing w:after="0" w:line="240" w:lineRule="auto"/>
              <w:jc w:val="right"/>
              <w:rPr>
                <w:rFonts w:ascii="Arial" w:eastAsia="Times New Roman" w:hAnsi="Arial" w:cs="Arial"/>
                <w:b/>
                <w:bCs/>
                <w:color w:val="000000"/>
                <w:sz w:val="16"/>
                <w:szCs w:val="16"/>
                <w:lang w:val="it-IT" w:eastAsia="en-IE"/>
              </w:rPr>
            </w:pPr>
            <w:r w:rsidRPr="00656794">
              <w:rPr>
                <w:rFonts w:ascii="Arial" w:eastAsia="Times New Roman" w:hAnsi="Arial" w:cs="Arial"/>
                <w:b/>
                <w:bCs/>
                <w:color w:val="000000"/>
                <w:sz w:val="16"/>
                <w:szCs w:val="16"/>
                <w:lang w:val="it-IT" w:eastAsia="en-IE"/>
              </w:rPr>
              <w:t>Valore di riscatto</w:t>
            </w:r>
          </w:p>
          <w:p w14:paraId="6D80C72F" w14:textId="77777777" w:rsidR="000F279B" w:rsidRPr="00656794" w:rsidRDefault="000F279B" w:rsidP="00130A9C">
            <w:pPr>
              <w:spacing w:after="0" w:line="240" w:lineRule="auto"/>
              <w:jc w:val="right"/>
              <w:rPr>
                <w:rFonts w:ascii="Arial" w:eastAsia="Times New Roman" w:hAnsi="Arial" w:cs="Arial"/>
                <w:b/>
                <w:bCs/>
                <w:color w:val="000000"/>
                <w:sz w:val="16"/>
                <w:szCs w:val="16"/>
                <w:lang w:val="it-IT" w:eastAsia="en-IE"/>
              </w:rPr>
            </w:pPr>
            <w:r w:rsidRPr="00656794">
              <w:rPr>
                <w:rFonts w:ascii="Arial" w:eastAsia="Times New Roman" w:hAnsi="Arial" w:cs="Arial"/>
                <w:b/>
                <w:bCs/>
                <w:color w:val="000000"/>
                <w:sz w:val="16"/>
                <w:szCs w:val="16"/>
                <w:lang w:val="it-IT" w:eastAsia="en-IE"/>
              </w:rPr>
              <w:t>(€ milioni)</w:t>
            </w:r>
          </w:p>
          <w:p w14:paraId="36075481" w14:textId="77777777" w:rsidR="00632D24" w:rsidRPr="00656794" w:rsidRDefault="00632D24" w:rsidP="00130A9C">
            <w:pPr>
              <w:spacing w:after="0" w:line="240" w:lineRule="auto"/>
              <w:jc w:val="center"/>
              <w:rPr>
                <w:rFonts w:ascii="Arial" w:eastAsia="Times New Roman" w:hAnsi="Arial" w:cs="Arial"/>
                <w:b/>
                <w:bCs/>
                <w:color w:val="000000"/>
                <w:sz w:val="16"/>
                <w:szCs w:val="16"/>
                <w:lang w:val="it-IT" w:eastAsia="en-IE"/>
              </w:rPr>
            </w:pPr>
          </w:p>
        </w:tc>
      </w:tr>
      <w:tr w:rsidR="007052A0" w:rsidRPr="00656794" w14:paraId="525D3E0D" w14:textId="77777777" w:rsidTr="00130A9C">
        <w:trPr>
          <w:trHeight w:val="281"/>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23812" w14:textId="15F2F1C4" w:rsidR="007052A0" w:rsidRPr="00656794" w:rsidRDefault="007052A0" w:rsidP="007052A0">
            <w:pPr>
              <w:spacing w:after="0" w:line="240" w:lineRule="auto"/>
              <w:ind w:left="120"/>
              <w:rPr>
                <w:rFonts w:ascii="Arial" w:eastAsia="Times New Roman" w:hAnsi="Arial" w:cs="Arial"/>
                <w:sz w:val="20"/>
                <w:szCs w:val="20"/>
                <w:lang w:val="it-IT" w:eastAsia="en-IE"/>
              </w:rPr>
            </w:pPr>
            <w:r w:rsidRPr="00656794">
              <w:rPr>
                <w:rFonts w:ascii="Arial" w:hAnsi="Arial" w:cs="Arial"/>
                <w:sz w:val="20"/>
                <w:szCs w:val="20"/>
                <w:lang w:val="it-IT"/>
              </w:rPr>
              <w:t xml:space="preserve">Assicurazione </w:t>
            </w:r>
            <w:r w:rsidR="00446E83">
              <w:rPr>
                <w:rFonts w:ascii="Arial" w:hAnsi="Arial" w:cs="Arial"/>
                <w:sz w:val="20"/>
                <w:szCs w:val="20"/>
                <w:lang w:val="it-IT"/>
              </w:rPr>
              <w:t>con profitto</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DD76B" w14:textId="12EE543B"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275.819 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DE548" w14:textId="6F764B73"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1.347,2 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1EAF3" w14:textId="1E5EAC76"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4.431,1 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F466B" w14:textId="152C536A"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9.827,0</w:t>
            </w:r>
          </w:p>
        </w:tc>
      </w:tr>
      <w:tr w:rsidR="007052A0" w:rsidRPr="00656794" w14:paraId="47E2E3A2" w14:textId="77777777" w:rsidTr="00130A9C">
        <w:trPr>
          <w:trHeight w:val="272"/>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267FD" w14:textId="2431AB72" w:rsidR="007052A0" w:rsidRPr="00656794" w:rsidRDefault="007052A0" w:rsidP="007052A0">
            <w:pPr>
              <w:spacing w:after="0" w:line="240" w:lineRule="auto"/>
              <w:ind w:left="132"/>
              <w:rPr>
                <w:rFonts w:ascii="Arial" w:eastAsia="Times New Roman" w:hAnsi="Arial" w:cs="Arial"/>
                <w:sz w:val="20"/>
                <w:szCs w:val="20"/>
                <w:lang w:val="it-IT" w:eastAsia="en-IE"/>
              </w:rPr>
            </w:pPr>
            <w:r w:rsidRPr="00656794">
              <w:rPr>
                <w:rFonts w:ascii="Arial" w:hAnsi="Arial" w:cs="Arial"/>
                <w:sz w:val="20"/>
                <w:szCs w:val="20"/>
                <w:lang w:val="it-IT"/>
              </w:rPr>
              <w:t xml:space="preserve">Assicurazione </w:t>
            </w:r>
            <w:r w:rsidR="00390973" w:rsidRPr="00656794">
              <w:rPr>
                <w:rFonts w:ascii="Arial" w:eastAsia="Times New Roman" w:hAnsi="Arial" w:cs="Arial"/>
                <w:color w:val="000000"/>
                <w:sz w:val="18"/>
                <w:szCs w:val="18"/>
                <w:shd w:val="clear" w:color="auto" w:fill="FFFFFF"/>
                <w:lang w:val="it-IT" w:eastAsia="en-IE"/>
              </w:rPr>
              <w:t>Unit-linked</w:t>
            </w:r>
            <w:r w:rsidRPr="00656794">
              <w:rPr>
                <w:rFonts w:ascii="Arial" w:hAnsi="Arial" w:cs="Arial"/>
                <w:sz w:val="20"/>
                <w:szCs w:val="20"/>
                <w:lang w:val="it-IT"/>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C4AFF" w14:textId="227D487D"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82.712 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5FCAB" w14:textId="3DFC5A47"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1.143,9 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AF267" w14:textId="0B81AACE"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0,6 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241CB" w14:textId="3AD24606"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3.153,2</w:t>
            </w:r>
          </w:p>
        </w:tc>
      </w:tr>
      <w:tr w:rsidR="007052A0" w:rsidRPr="00656794" w14:paraId="04286AEE" w14:textId="77777777" w:rsidTr="00130A9C">
        <w:trPr>
          <w:trHeight w:val="271"/>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3A45A" w14:textId="4D8D8193" w:rsidR="007052A0" w:rsidRPr="00656794" w:rsidRDefault="007052A0" w:rsidP="007052A0">
            <w:pPr>
              <w:spacing w:after="0" w:line="240" w:lineRule="auto"/>
              <w:ind w:left="126"/>
              <w:rPr>
                <w:rFonts w:ascii="Arial" w:eastAsia="Times New Roman" w:hAnsi="Arial" w:cs="Arial"/>
                <w:sz w:val="20"/>
                <w:szCs w:val="20"/>
                <w:lang w:val="it-IT" w:eastAsia="en-IE"/>
              </w:rPr>
            </w:pPr>
            <w:r w:rsidRPr="00656794">
              <w:rPr>
                <w:rFonts w:ascii="Arial" w:hAnsi="Arial" w:cs="Arial"/>
                <w:sz w:val="20"/>
                <w:szCs w:val="20"/>
                <w:lang w:val="it-IT"/>
              </w:rPr>
              <w:t>Altre assicurazioni sulla vita</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4FD1E" w14:textId="6F305D8F"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76.838 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F3B5E" w14:textId="101ABCA7"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72,9*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56C54" w14:textId="0B1A308A"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23.379,9 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98AA4" w14:textId="77777777"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0</w:t>
            </w:r>
          </w:p>
        </w:tc>
      </w:tr>
      <w:tr w:rsidR="007052A0" w:rsidRPr="00656794" w14:paraId="2A6D6E7A" w14:textId="77777777" w:rsidTr="00130A9C">
        <w:trPr>
          <w:trHeight w:val="285"/>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AEC87" w14:textId="4205E519" w:rsidR="007052A0" w:rsidRPr="00656794" w:rsidRDefault="007052A0" w:rsidP="007052A0">
            <w:pPr>
              <w:spacing w:after="0" w:line="240" w:lineRule="auto"/>
              <w:ind w:left="121"/>
              <w:rPr>
                <w:rFonts w:ascii="Arial" w:eastAsia="Times New Roman" w:hAnsi="Arial" w:cs="Arial"/>
                <w:b/>
                <w:bCs/>
                <w:sz w:val="20"/>
                <w:szCs w:val="20"/>
                <w:lang w:val="it-IT" w:eastAsia="en-IE"/>
              </w:rPr>
            </w:pPr>
            <w:r w:rsidRPr="00656794">
              <w:rPr>
                <w:rFonts w:ascii="Arial" w:hAnsi="Arial" w:cs="Arial"/>
                <w:b/>
                <w:bCs/>
                <w:sz w:val="20"/>
                <w:szCs w:val="20"/>
                <w:lang w:val="it-IT"/>
              </w:rPr>
              <w:t>Totale</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0B622" w14:textId="1FCB53BB"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435.369 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80DF2" w14:textId="3AD2C115"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2.563,9 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BBD5A" w14:textId="4898B49C"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27.811,6 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C07A0" w14:textId="38B043A9" w:rsidR="007052A0" w:rsidRPr="00656794" w:rsidRDefault="007052A0" w:rsidP="007052A0">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12.980,2</w:t>
            </w:r>
          </w:p>
        </w:tc>
      </w:tr>
    </w:tbl>
    <w:p w14:paraId="433400C8" w14:textId="77777777" w:rsidR="007E7121" w:rsidRPr="00656794" w:rsidRDefault="007E7121" w:rsidP="007E7121">
      <w:pPr>
        <w:spacing w:after="240" w:line="240" w:lineRule="auto"/>
        <w:rPr>
          <w:rFonts w:ascii="Times New Roman" w:eastAsia="Times New Roman" w:hAnsi="Times New Roman" w:cs="Times New Roman"/>
          <w:sz w:val="24"/>
          <w:szCs w:val="24"/>
          <w:lang w:val="it-IT" w:eastAsia="en-IE"/>
        </w:rPr>
      </w:pPr>
    </w:p>
    <w:tbl>
      <w:tblPr>
        <w:tblW w:w="9062" w:type="dxa"/>
        <w:tblCellMar>
          <w:top w:w="15" w:type="dxa"/>
          <w:left w:w="15" w:type="dxa"/>
          <w:bottom w:w="15" w:type="dxa"/>
          <w:right w:w="15" w:type="dxa"/>
        </w:tblCellMar>
        <w:tblLook w:val="04A0" w:firstRow="1" w:lastRow="0" w:firstColumn="1" w:lastColumn="0" w:noHBand="0" w:noVBand="1"/>
      </w:tblPr>
      <w:tblGrid>
        <w:gridCol w:w="2795"/>
        <w:gridCol w:w="1552"/>
        <w:gridCol w:w="1337"/>
        <w:gridCol w:w="1830"/>
        <w:gridCol w:w="1548"/>
      </w:tblGrid>
      <w:tr w:rsidR="000F279B" w:rsidRPr="00B84464" w14:paraId="7A8C2AE3" w14:textId="77777777" w:rsidTr="00F64777">
        <w:trPr>
          <w:trHeight w:val="281"/>
        </w:trPr>
        <w:tc>
          <w:tcPr>
            <w:tcW w:w="9062" w:type="dxa"/>
            <w:gridSpan w:val="5"/>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tcPr>
          <w:p w14:paraId="59039C33" w14:textId="6A156E17" w:rsidR="000F279B" w:rsidRPr="00656794" w:rsidRDefault="000F279B" w:rsidP="00F64777">
            <w:pPr>
              <w:spacing w:before="98" w:after="0" w:line="240" w:lineRule="auto"/>
              <w:ind w:right="1004"/>
              <w:rPr>
                <w:rFonts w:ascii="Arial" w:eastAsia="Times New Roman" w:hAnsi="Arial" w:cs="Arial"/>
                <w:color w:val="FFFFFF" w:themeColor="background1"/>
                <w:sz w:val="20"/>
                <w:szCs w:val="20"/>
                <w:lang w:val="it-IT" w:eastAsia="en-IE"/>
              </w:rPr>
            </w:pPr>
            <w:r w:rsidRPr="00656794">
              <w:rPr>
                <w:rFonts w:ascii="Arial" w:eastAsia="Times New Roman" w:hAnsi="Arial" w:cs="Arial"/>
                <w:color w:val="FFFFFF" w:themeColor="background1"/>
                <w:sz w:val="20"/>
                <w:szCs w:val="20"/>
                <w:lang w:val="it-IT" w:eastAsia="en-IE"/>
              </w:rPr>
              <w:t>Tabella 3.2(b): Somma ZIL assicurata e conteggio della polizza - giugno 2021</w:t>
            </w:r>
          </w:p>
        </w:tc>
      </w:tr>
      <w:tr w:rsidR="000F279B" w:rsidRPr="00656794" w14:paraId="5544DC8E" w14:textId="77777777" w:rsidTr="00130A9C">
        <w:trPr>
          <w:trHeight w:val="622"/>
        </w:trPr>
        <w:tc>
          <w:tcPr>
            <w:tcW w:w="28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6E5648EA" w14:textId="2D11AADE" w:rsidR="000F279B" w:rsidRPr="00656794" w:rsidRDefault="00CF0AEA" w:rsidP="00F64777">
            <w:pPr>
              <w:spacing w:after="0" w:line="240" w:lineRule="auto"/>
              <w:ind w:left="132"/>
              <w:rPr>
                <w:rFonts w:ascii="Arial" w:eastAsia="Times New Roman" w:hAnsi="Arial" w:cs="Arial"/>
                <w:b/>
                <w:bCs/>
                <w:color w:val="000000"/>
                <w:sz w:val="16"/>
                <w:szCs w:val="16"/>
                <w:lang w:val="it-IT" w:eastAsia="en-IE"/>
              </w:rPr>
            </w:pPr>
            <w:r w:rsidRPr="00656794">
              <w:rPr>
                <w:rFonts w:ascii="Arial" w:eastAsia="Times New Roman" w:hAnsi="Arial" w:cs="Arial"/>
                <w:b/>
                <w:bCs/>
                <w:color w:val="000000"/>
                <w:sz w:val="16"/>
                <w:szCs w:val="16"/>
                <w:lang w:val="it-IT" w:eastAsia="en-IE"/>
              </w:rPr>
              <w:t>Linea di attività</w:t>
            </w:r>
          </w:p>
        </w:tc>
        <w:tc>
          <w:tcPr>
            <w:tcW w:w="15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7F381BFC" w14:textId="19D4CEA8" w:rsidR="000F279B" w:rsidRPr="00656794" w:rsidRDefault="000F279B" w:rsidP="00CF0AEA">
            <w:pPr>
              <w:spacing w:after="0" w:line="240" w:lineRule="auto"/>
              <w:rPr>
                <w:rFonts w:ascii="Arial" w:eastAsia="Times New Roman" w:hAnsi="Arial" w:cs="Arial"/>
                <w:b/>
                <w:bCs/>
                <w:color w:val="000000"/>
                <w:sz w:val="16"/>
                <w:szCs w:val="16"/>
                <w:lang w:val="it-IT" w:eastAsia="en-IE"/>
              </w:rPr>
            </w:pPr>
            <w:r w:rsidRPr="00656794">
              <w:rPr>
                <w:rFonts w:ascii="Arial" w:eastAsia="Times New Roman" w:hAnsi="Arial" w:cs="Arial"/>
                <w:b/>
                <w:bCs/>
                <w:color w:val="000000"/>
                <w:sz w:val="16"/>
                <w:szCs w:val="16"/>
                <w:lang w:val="it-IT" w:eastAsia="en-IE"/>
              </w:rPr>
              <w:t>Conteggio Polizza</w:t>
            </w:r>
          </w:p>
        </w:tc>
        <w:tc>
          <w:tcPr>
            <w:tcW w:w="127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269690CE" w14:textId="2E0AB474" w:rsidR="000F279B" w:rsidRPr="00656794" w:rsidRDefault="006D0CEC" w:rsidP="00130A9C">
            <w:pPr>
              <w:spacing w:after="0" w:line="240" w:lineRule="auto"/>
              <w:ind w:left="132"/>
              <w:rPr>
                <w:rFonts w:ascii="Arial" w:eastAsia="Times New Roman" w:hAnsi="Arial" w:cs="Arial"/>
                <w:b/>
                <w:bCs/>
                <w:color w:val="000000"/>
                <w:sz w:val="16"/>
                <w:szCs w:val="16"/>
                <w:lang w:val="it-IT" w:eastAsia="en-IE"/>
              </w:rPr>
            </w:pPr>
            <w:r w:rsidRPr="00656794">
              <w:rPr>
                <w:rFonts w:ascii="Arial" w:eastAsia="Times New Roman" w:hAnsi="Arial" w:cs="Arial"/>
                <w:b/>
                <w:bCs/>
                <w:color w:val="000000"/>
                <w:sz w:val="16"/>
                <w:szCs w:val="16"/>
                <w:lang w:val="it-IT" w:eastAsia="en-IE"/>
              </w:rPr>
              <w:t>Premi lordi contabilizzati</w:t>
            </w:r>
            <w:r w:rsidR="000F279B" w:rsidRPr="00656794">
              <w:rPr>
                <w:rFonts w:ascii="Arial" w:eastAsia="Times New Roman" w:hAnsi="Arial" w:cs="Arial"/>
                <w:b/>
                <w:bCs/>
                <w:color w:val="000000"/>
                <w:sz w:val="16"/>
                <w:szCs w:val="16"/>
                <w:lang w:val="it-IT" w:eastAsia="en-IE"/>
              </w:rPr>
              <w:t xml:space="preserve"> (milioni di euro)</w:t>
            </w:r>
          </w:p>
        </w:tc>
        <w:tc>
          <w:tcPr>
            <w:tcW w:w="18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793DE4DB" w14:textId="77777777" w:rsidR="000F279B" w:rsidRPr="00656794" w:rsidRDefault="000F279B" w:rsidP="00F64777">
            <w:pPr>
              <w:spacing w:after="0" w:line="240" w:lineRule="auto"/>
              <w:ind w:left="132"/>
              <w:jc w:val="center"/>
              <w:rPr>
                <w:rFonts w:ascii="Arial" w:eastAsia="Times New Roman" w:hAnsi="Arial" w:cs="Arial"/>
                <w:b/>
                <w:bCs/>
                <w:color w:val="000000"/>
                <w:sz w:val="16"/>
                <w:szCs w:val="16"/>
                <w:lang w:val="it-IT" w:eastAsia="en-IE"/>
              </w:rPr>
            </w:pPr>
            <w:r w:rsidRPr="00656794">
              <w:rPr>
                <w:rFonts w:ascii="Arial" w:eastAsia="Times New Roman" w:hAnsi="Arial" w:cs="Arial"/>
                <w:b/>
                <w:bCs/>
                <w:color w:val="000000"/>
                <w:sz w:val="16"/>
                <w:szCs w:val="16"/>
                <w:lang w:val="it-IT" w:eastAsia="en-IE"/>
              </w:rPr>
              <w:t>Capitale a rischio (milioni di euro)</w:t>
            </w:r>
          </w:p>
        </w:tc>
        <w:tc>
          <w:tcPr>
            <w:tcW w:w="15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5681A456" w14:textId="77777777" w:rsidR="000F279B" w:rsidRPr="00656794" w:rsidRDefault="000F279B" w:rsidP="00130A9C">
            <w:pPr>
              <w:spacing w:after="0" w:line="240" w:lineRule="auto"/>
              <w:jc w:val="right"/>
              <w:rPr>
                <w:rFonts w:ascii="Arial" w:eastAsia="Times New Roman" w:hAnsi="Arial" w:cs="Arial"/>
                <w:b/>
                <w:bCs/>
                <w:color w:val="000000"/>
                <w:sz w:val="16"/>
                <w:szCs w:val="16"/>
                <w:lang w:val="it-IT" w:eastAsia="en-IE"/>
              </w:rPr>
            </w:pPr>
            <w:r w:rsidRPr="00656794">
              <w:rPr>
                <w:rFonts w:ascii="Arial" w:eastAsia="Times New Roman" w:hAnsi="Arial" w:cs="Arial"/>
                <w:b/>
                <w:bCs/>
                <w:color w:val="000000"/>
                <w:sz w:val="16"/>
                <w:szCs w:val="16"/>
                <w:lang w:val="it-IT" w:eastAsia="en-IE"/>
              </w:rPr>
              <w:t>Valore di riscatto</w:t>
            </w:r>
          </w:p>
          <w:p w14:paraId="468A5DF8" w14:textId="77777777" w:rsidR="000F279B" w:rsidRPr="00656794" w:rsidRDefault="000F279B" w:rsidP="00130A9C">
            <w:pPr>
              <w:spacing w:after="0" w:line="240" w:lineRule="auto"/>
              <w:jc w:val="right"/>
              <w:rPr>
                <w:rFonts w:ascii="Arial" w:eastAsia="Times New Roman" w:hAnsi="Arial" w:cs="Arial"/>
                <w:b/>
                <w:bCs/>
                <w:color w:val="000000"/>
                <w:sz w:val="16"/>
                <w:szCs w:val="16"/>
                <w:lang w:val="it-IT" w:eastAsia="en-IE"/>
              </w:rPr>
            </w:pPr>
            <w:r w:rsidRPr="00656794">
              <w:rPr>
                <w:rFonts w:ascii="Arial" w:eastAsia="Times New Roman" w:hAnsi="Arial" w:cs="Arial"/>
                <w:b/>
                <w:bCs/>
                <w:color w:val="000000"/>
                <w:sz w:val="16"/>
                <w:szCs w:val="16"/>
                <w:lang w:val="it-IT" w:eastAsia="en-IE"/>
              </w:rPr>
              <w:t>(€ milioni)</w:t>
            </w:r>
          </w:p>
          <w:p w14:paraId="4543CE0F" w14:textId="77777777" w:rsidR="000F279B" w:rsidRPr="00656794" w:rsidRDefault="000F279B" w:rsidP="00F64777">
            <w:pPr>
              <w:spacing w:after="0" w:line="240" w:lineRule="auto"/>
              <w:ind w:left="132"/>
              <w:jc w:val="center"/>
              <w:rPr>
                <w:rFonts w:ascii="Arial" w:eastAsia="Times New Roman" w:hAnsi="Arial" w:cs="Arial"/>
                <w:b/>
                <w:bCs/>
                <w:color w:val="000000"/>
                <w:sz w:val="16"/>
                <w:szCs w:val="16"/>
                <w:lang w:val="it-IT" w:eastAsia="en-IE"/>
              </w:rPr>
            </w:pPr>
          </w:p>
        </w:tc>
      </w:tr>
    </w:tbl>
    <w:p w14:paraId="1B100FD7" w14:textId="2435FE32" w:rsidR="007E7121" w:rsidRPr="00656794" w:rsidRDefault="007E7121" w:rsidP="000F279B">
      <w:pPr>
        <w:spacing w:after="0" w:line="240" w:lineRule="auto"/>
        <w:ind w:right="879"/>
        <w:rPr>
          <w:rFonts w:ascii="Times New Roman" w:eastAsia="Times New Roman" w:hAnsi="Times New Roman" w:cs="Times New Roman"/>
          <w:sz w:val="2"/>
          <w:szCs w:val="2"/>
          <w:lang w:val="it-IT" w:eastAsia="en-IE"/>
        </w:rPr>
      </w:pPr>
    </w:p>
    <w:tbl>
      <w:tblPr>
        <w:tblW w:w="9062" w:type="dxa"/>
        <w:tblCellMar>
          <w:top w:w="15" w:type="dxa"/>
          <w:left w:w="15" w:type="dxa"/>
          <w:bottom w:w="15" w:type="dxa"/>
          <w:right w:w="15" w:type="dxa"/>
        </w:tblCellMar>
        <w:tblLook w:val="04A0" w:firstRow="1" w:lastRow="0" w:firstColumn="1" w:lastColumn="0" w:noHBand="0" w:noVBand="1"/>
      </w:tblPr>
      <w:tblGrid>
        <w:gridCol w:w="2825"/>
        <w:gridCol w:w="1560"/>
        <w:gridCol w:w="1275"/>
        <w:gridCol w:w="1843"/>
        <w:gridCol w:w="1559"/>
      </w:tblGrid>
      <w:tr w:rsidR="007E7121" w:rsidRPr="00656794" w14:paraId="6FF0CD81" w14:textId="77777777" w:rsidTr="00130A9C">
        <w:trPr>
          <w:trHeight w:val="281"/>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C5D28" w14:textId="208AF395" w:rsidR="007E7121" w:rsidRPr="00656794" w:rsidRDefault="00390973" w:rsidP="007E7121">
            <w:pPr>
              <w:spacing w:after="0" w:line="240" w:lineRule="auto"/>
              <w:ind w:left="120"/>
              <w:rPr>
                <w:rFonts w:ascii="Times New Roman" w:eastAsia="Times New Roman" w:hAnsi="Times New Roman" w:cs="Times New Roman"/>
                <w:sz w:val="24"/>
                <w:szCs w:val="24"/>
                <w:lang w:val="it-IT" w:eastAsia="en-IE"/>
              </w:rPr>
            </w:pPr>
            <w:r w:rsidRPr="00656794">
              <w:rPr>
                <w:rFonts w:ascii="Arial" w:hAnsi="Arial" w:cs="Arial"/>
                <w:sz w:val="20"/>
                <w:szCs w:val="20"/>
                <w:lang w:val="it-IT"/>
              </w:rPr>
              <w:t xml:space="preserve">Assicurazione </w:t>
            </w:r>
            <w:r w:rsidR="00446E83">
              <w:rPr>
                <w:rFonts w:ascii="Arial" w:hAnsi="Arial" w:cs="Arial"/>
                <w:sz w:val="20"/>
                <w:szCs w:val="20"/>
                <w:lang w:val="it-IT"/>
              </w:rPr>
              <w:t>con profitto</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EAE41" w14:textId="4C975268"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27</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744 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FF4F1" w14:textId="229B6C48"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525</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4 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488CF" w14:textId="145132AD"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4</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396</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1 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13D13" w14:textId="320EA124"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10</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053</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6</w:t>
            </w:r>
          </w:p>
        </w:tc>
      </w:tr>
      <w:tr w:rsidR="007E7121" w:rsidRPr="00656794" w14:paraId="05324075" w14:textId="77777777" w:rsidTr="00130A9C">
        <w:trPr>
          <w:trHeight w:val="272"/>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8B245" w14:textId="0DAF5354" w:rsidR="007E7121" w:rsidRPr="00656794" w:rsidRDefault="00390973" w:rsidP="007E7121">
            <w:pPr>
              <w:spacing w:after="0" w:line="240" w:lineRule="auto"/>
              <w:ind w:left="132"/>
              <w:rPr>
                <w:rFonts w:ascii="Times New Roman" w:eastAsia="Times New Roman" w:hAnsi="Times New Roman" w:cs="Times New Roman"/>
                <w:sz w:val="24"/>
                <w:szCs w:val="24"/>
                <w:lang w:val="it-IT" w:eastAsia="en-IE"/>
              </w:rPr>
            </w:pPr>
            <w:r w:rsidRPr="00656794">
              <w:rPr>
                <w:rFonts w:ascii="Arial" w:hAnsi="Arial" w:cs="Arial"/>
                <w:sz w:val="20"/>
                <w:szCs w:val="20"/>
                <w:lang w:val="it-IT"/>
              </w:rPr>
              <w:t xml:space="preserve">Assicurazione </w:t>
            </w:r>
            <w:r w:rsidRPr="00656794">
              <w:rPr>
                <w:rFonts w:ascii="Arial" w:eastAsia="Times New Roman" w:hAnsi="Arial" w:cs="Arial"/>
                <w:color w:val="000000"/>
                <w:sz w:val="18"/>
                <w:szCs w:val="18"/>
                <w:shd w:val="clear" w:color="auto" w:fill="FFFFFF"/>
                <w:lang w:val="it-IT" w:eastAsia="en-IE"/>
              </w:rPr>
              <w:t>Unit-linked</w:t>
            </w:r>
            <w:r w:rsidRPr="00656794">
              <w:rPr>
                <w:rFonts w:ascii="Arial" w:hAnsi="Arial" w:cs="Arial"/>
                <w:sz w:val="20"/>
                <w:szCs w:val="20"/>
                <w:lang w:val="it-IT"/>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BC3D3" w14:textId="34E4DF17"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94</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629 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46FC9" w14:textId="6FAB9A40"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684</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5 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14EB5" w14:textId="673567B4"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2</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7 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543AE" w14:textId="5BD760A6"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4</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023</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9</w:t>
            </w:r>
          </w:p>
        </w:tc>
      </w:tr>
      <w:tr w:rsidR="007E7121" w:rsidRPr="00656794" w14:paraId="2B2F864E" w14:textId="77777777" w:rsidTr="00130A9C">
        <w:trPr>
          <w:trHeight w:val="272"/>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F7E99" w14:textId="13EA71C6" w:rsidR="007E7121" w:rsidRPr="00656794" w:rsidRDefault="00390973" w:rsidP="007E7121">
            <w:pPr>
              <w:spacing w:after="0" w:line="240" w:lineRule="auto"/>
              <w:ind w:left="126"/>
              <w:rPr>
                <w:rFonts w:ascii="Times New Roman" w:eastAsia="Times New Roman" w:hAnsi="Times New Roman" w:cs="Times New Roman"/>
                <w:sz w:val="24"/>
                <w:szCs w:val="24"/>
                <w:lang w:val="it-IT" w:eastAsia="en-IE"/>
              </w:rPr>
            </w:pPr>
            <w:r w:rsidRPr="00656794">
              <w:rPr>
                <w:rFonts w:ascii="Arial" w:hAnsi="Arial" w:cs="Arial"/>
                <w:sz w:val="20"/>
                <w:szCs w:val="20"/>
                <w:lang w:val="it-IT"/>
              </w:rPr>
              <w:t>Altre assicurazioni sulla vita</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8B954" w14:textId="3BC94C68"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82</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600 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AAE32" w14:textId="7D798CD2"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55</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7*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99679" w14:textId="45168027"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23</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341</w:t>
            </w:r>
            <w:r w:rsidR="0039097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1 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E5F6B" w14:textId="77777777"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0</w:t>
            </w:r>
          </w:p>
        </w:tc>
      </w:tr>
      <w:tr w:rsidR="007E7121" w:rsidRPr="00656794" w14:paraId="7AB4E004" w14:textId="77777777" w:rsidTr="00130A9C">
        <w:trPr>
          <w:trHeight w:val="284"/>
        </w:trPr>
        <w:tc>
          <w:tcPr>
            <w:tcW w:w="2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030AE" w14:textId="4E3F7F3E" w:rsidR="007E7121" w:rsidRPr="00656794" w:rsidRDefault="007E7121" w:rsidP="007E7121">
            <w:pPr>
              <w:spacing w:after="0" w:line="240" w:lineRule="auto"/>
              <w:ind w:left="121"/>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Total</w:t>
            </w:r>
            <w:r w:rsidR="00390973" w:rsidRPr="00656794">
              <w:rPr>
                <w:rFonts w:ascii="Arial" w:eastAsia="Times New Roman" w:hAnsi="Arial" w:cs="Arial"/>
                <w:b/>
                <w:bCs/>
                <w:color w:val="000000"/>
                <w:sz w:val="18"/>
                <w:szCs w:val="18"/>
                <w:shd w:val="clear" w:color="auto" w:fill="FFFFFF"/>
                <w:lang w:val="it-IT" w:eastAsia="en-IE"/>
              </w:rPr>
              <w:t>e</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874F5" w14:textId="6EBFA892"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453</w:t>
            </w:r>
            <w:r w:rsidR="0039097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973 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B8425" w14:textId="45E2B9FA"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w:t>
            </w:r>
            <w:r w:rsidR="0039097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265</w:t>
            </w:r>
            <w:r w:rsidR="0039097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6 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92833" w14:textId="5D7BD1D0"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27</w:t>
            </w:r>
            <w:r w:rsidR="0039097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73</w:t>
            </w:r>
            <w:r w:rsidR="0039097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8 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8258A" w14:textId="600430AE" w:rsidR="007E7121" w:rsidRPr="00656794" w:rsidRDefault="007E7121" w:rsidP="007E712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14</w:t>
            </w:r>
            <w:r w:rsidR="0039097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077</w:t>
            </w:r>
            <w:r w:rsidR="0039097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5</w:t>
            </w:r>
          </w:p>
        </w:tc>
      </w:tr>
    </w:tbl>
    <w:p w14:paraId="63C98C7F" w14:textId="39307460" w:rsidR="007E7121" w:rsidRPr="00656794" w:rsidRDefault="007E7121" w:rsidP="000F279B">
      <w:pPr>
        <w:spacing w:before="315"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3.2.1 Prod</w:t>
      </w:r>
      <w:r w:rsidR="00390973" w:rsidRPr="00656794">
        <w:rPr>
          <w:rFonts w:ascii="Arial" w:eastAsia="Times New Roman" w:hAnsi="Arial" w:cs="Arial"/>
          <w:color w:val="00338D"/>
          <w:sz w:val="24"/>
          <w:szCs w:val="24"/>
          <w:lang w:val="it-IT" w:eastAsia="en-IE"/>
        </w:rPr>
        <w:t>otti</w:t>
      </w:r>
    </w:p>
    <w:p w14:paraId="3081A60B" w14:textId="1A1C79D6" w:rsidR="00CF0AEA"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Al 31 dicembre 2020 ZIL ha quattro linee di attività sui suoi </w:t>
      </w:r>
      <w:r w:rsidR="008A4E09">
        <w:rPr>
          <w:rFonts w:ascii="Arial" w:hAnsi="Arial" w:cs="Arial"/>
          <w:color w:val="000000"/>
          <w:sz w:val="20"/>
          <w:szCs w:val="20"/>
          <w:lang w:val="it-IT"/>
        </w:rPr>
        <w:t>registri</w:t>
      </w:r>
      <w:r w:rsidRPr="00656794">
        <w:rPr>
          <w:rFonts w:ascii="Arial" w:hAnsi="Arial" w:cs="Arial"/>
          <w:color w:val="000000"/>
          <w:sz w:val="20"/>
          <w:szCs w:val="20"/>
          <w:lang w:val="it-IT"/>
        </w:rPr>
        <w:t xml:space="preserve">, classificate sotto Solvency II come segue: </w:t>
      </w:r>
    </w:p>
    <w:p w14:paraId="2EC2C7D1" w14:textId="1408CBDD"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Assicurazione sanitaria: prodotti per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assistenza a lungo termine.</w:t>
      </w:r>
    </w:p>
    <w:p w14:paraId="0178568D" w14:textId="517AC2AF"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Assicurazione </w:t>
      </w:r>
      <w:r w:rsidR="00446E83">
        <w:rPr>
          <w:rFonts w:ascii="Arial" w:hAnsi="Arial" w:cs="Arial"/>
          <w:color w:val="000000"/>
          <w:sz w:val="20"/>
          <w:szCs w:val="20"/>
          <w:lang w:val="it-IT"/>
        </w:rPr>
        <w:t>con profitto</w:t>
      </w:r>
      <w:r w:rsidRPr="00656794">
        <w:rPr>
          <w:rFonts w:ascii="Arial" w:hAnsi="Arial" w:cs="Arial"/>
          <w:color w:val="000000"/>
          <w:sz w:val="20"/>
          <w:szCs w:val="20"/>
          <w:lang w:val="it-IT"/>
        </w:rPr>
        <w:t>: tutti i prodotti assicurativi vita, dotazione e rendita con garanzie di rendimento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investimento tra lo 0% e il 4% investiti in cinque fondi separati con profitto, che sono gestiti separatamente dal resto del portafoglio di attività di ZIL.</w:t>
      </w:r>
    </w:p>
    <w:p w14:paraId="009D067D" w14:textId="06086C4A"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Assicurazione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la performance è legata al valore delle quote di fondi di investimento interni o esterni in cui il rischio di investimento è interamente a carico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Per alcuni prodotti sono previste prestazioni minime di morte garantite collegate a queste polizze.</w:t>
      </w:r>
    </w:p>
    <w:p w14:paraId="230EA3C8" w14:textId="77777777"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Altre assicurazioni sulla vita: altre attività assicurative sulla vita di gruppo e individuali non incluse nelle suddette linee di attività, inclusi i prodotti morte e malattie gravi.</w:t>
      </w:r>
    </w:p>
    <w:p w14:paraId="03AE01BE" w14:textId="1F88D87D"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Prendo atto che i prodotti ibridi (che sono prodotti con una combinazione di funzionalità </w:t>
      </w:r>
      <w:r w:rsidR="00446E83">
        <w:rPr>
          <w:rFonts w:ascii="Arial" w:hAnsi="Arial" w:cs="Arial"/>
          <w:color w:val="000000"/>
          <w:sz w:val="20"/>
          <w:szCs w:val="20"/>
          <w:lang w:val="it-IT"/>
        </w:rPr>
        <w:t>con profitto</w:t>
      </w:r>
      <w:r w:rsidRPr="00656794">
        <w:rPr>
          <w:rFonts w:ascii="Arial" w:hAnsi="Arial" w:cs="Arial"/>
          <w:color w:val="000000"/>
          <w:sz w:val="20"/>
          <w:szCs w:val="20"/>
          <w:lang w:val="it-IT"/>
        </w:rPr>
        <w:t xml:space="preserve"> 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sono separati ai fini di Solvency II con le componenti investite nei fondi with profit 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contabilizzati separatamente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dei fondi </w:t>
      </w:r>
      <w:r w:rsidR="004011DA">
        <w:rPr>
          <w:rFonts w:ascii="Arial" w:hAnsi="Arial" w:cs="Arial"/>
          <w:color w:val="000000"/>
          <w:sz w:val="20"/>
          <w:szCs w:val="20"/>
          <w:lang w:val="it-IT"/>
        </w:rPr>
        <w:t>con profitto</w:t>
      </w:r>
      <w:r w:rsidRPr="00656794">
        <w:rPr>
          <w:rFonts w:ascii="Arial" w:hAnsi="Arial" w:cs="Arial"/>
          <w:color w:val="000000"/>
          <w:sz w:val="20"/>
          <w:szCs w:val="20"/>
          <w:lang w:val="it-IT"/>
        </w:rPr>
        <w:t xml:space="preserve"> 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classificazioni collegate sopra.</w:t>
      </w:r>
    </w:p>
    <w:p w14:paraId="45858531" w14:textId="5FE605C1"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xml:space="preserve">La </w:t>
      </w:r>
      <w:r w:rsidR="00272A18" w:rsidRPr="00656794">
        <w:rPr>
          <w:rFonts w:ascii="Arial" w:hAnsi="Arial" w:cs="Arial"/>
          <w:color w:val="000000"/>
          <w:sz w:val="20"/>
          <w:szCs w:val="20"/>
          <w:lang w:val="it-IT"/>
        </w:rPr>
        <w:t>Linea di attività</w:t>
      </w:r>
      <w:r w:rsidRPr="00656794">
        <w:rPr>
          <w:rFonts w:ascii="Arial" w:hAnsi="Arial" w:cs="Arial"/>
          <w:color w:val="000000"/>
          <w:sz w:val="20"/>
          <w:szCs w:val="20"/>
          <w:lang w:val="it-IT"/>
        </w:rPr>
        <w:t xml:space="preserve"> più significativa </w:t>
      </w:r>
      <w:r w:rsidR="008A4E09">
        <w:rPr>
          <w:rFonts w:ascii="Arial" w:hAnsi="Arial" w:cs="Arial"/>
          <w:color w:val="000000"/>
          <w:sz w:val="20"/>
          <w:szCs w:val="20"/>
          <w:lang w:val="it-IT"/>
        </w:rPr>
        <w:t>sotto</w:t>
      </w:r>
      <w:r w:rsidRPr="00656794">
        <w:rPr>
          <w:rFonts w:ascii="Arial" w:hAnsi="Arial" w:cs="Arial"/>
          <w:color w:val="000000"/>
          <w:sz w:val="20"/>
          <w:szCs w:val="20"/>
          <w:lang w:val="it-IT"/>
        </w:rPr>
        <w:t xml:space="preserve">scritta da ZIL è quella </w:t>
      </w:r>
      <w:r w:rsidR="00446E83">
        <w:rPr>
          <w:rFonts w:ascii="Arial" w:hAnsi="Arial" w:cs="Arial"/>
          <w:color w:val="000000"/>
          <w:sz w:val="20"/>
          <w:szCs w:val="20"/>
          <w:lang w:val="it-IT"/>
        </w:rPr>
        <w:t>con profitto</w:t>
      </w:r>
      <w:r w:rsidRPr="00656794">
        <w:rPr>
          <w:rFonts w:ascii="Arial" w:hAnsi="Arial" w:cs="Arial"/>
          <w:color w:val="000000"/>
          <w:sz w:val="20"/>
          <w:szCs w:val="20"/>
          <w:lang w:val="it-IT"/>
        </w:rPr>
        <w:t xml:space="preserve"> che rappresenta il 79% delle Riserve Tecniche al 31 dicembre 2020.</w:t>
      </w:r>
    </w:p>
    <w:p w14:paraId="5736A10B" w14:textId="087BD710"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La strategia e il </w:t>
      </w:r>
      <w:r w:rsidR="00783326">
        <w:rPr>
          <w:rFonts w:ascii="Arial" w:hAnsi="Arial" w:cs="Arial"/>
          <w:color w:val="000000"/>
          <w:sz w:val="20"/>
          <w:szCs w:val="20"/>
          <w:lang w:val="it-IT"/>
        </w:rPr>
        <w:t>piano aziendale</w:t>
      </w:r>
      <w:r w:rsidRPr="00656794">
        <w:rPr>
          <w:rFonts w:ascii="Arial" w:hAnsi="Arial" w:cs="Arial"/>
          <w:color w:val="000000"/>
          <w:sz w:val="20"/>
          <w:szCs w:val="20"/>
          <w:lang w:val="it-IT"/>
        </w:rPr>
        <w:t xml:space="preserve"> di ZIL sono stati rivisitati nel 2020, la direzione di ZIL ha deciso di abbandonare la tradizionale attività di assicurazione sulla vita per perseguire più attività assicurative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e ibride (business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con un elemento di protezione) in futuro. Questa strategia è in linea con il mercato assicurativo italiano più in generale, dove si registra una crescita significativa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offerta di prodotti assicurativi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e ibridi a causa della natura molto intensiva di capitale/basso rendimento per gli azionisti dei prodotti tradizionali.</w:t>
      </w:r>
    </w:p>
    <w:p w14:paraId="04132563" w14:textId="55BFFF31" w:rsidR="007E7121" w:rsidRPr="00656794" w:rsidRDefault="007E7121" w:rsidP="000F279B">
      <w:pPr>
        <w:spacing w:before="141"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3.2.2 </w:t>
      </w:r>
      <w:r w:rsidR="003C6CC5" w:rsidRPr="00656794">
        <w:rPr>
          <w:rFonts w:ascii="Arial" w:eastAsia="Times New Roman" w:hAnsi="Arial" w:cs="Arial"/>
          <w:color w:val="00338D"/>
          <w:sz w:val="24"/>
          <w:szCs w:val="24"/>
          <w:lang w:val="it-IT" w:eastAsia="en-IE"/>
        </w:rPr>
        <w:t xml:space="preserve">Beni </w:t>
      </w:r>
    </w:p>
    <w:p w14:paraId="5C125760" w14:textId="42D82E1F" w:rsidR="007E7121" w:rsidRPr="00656794" w:rsidRDefault="007E7121" w:rsidP="007E712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La tabella 3.3 riassume il profilo </w:t>
      </w:r>
      <w:r w:rsidR="003C6CC5" w:rsidRPr="00656794">
        <w:rPr>
          <w:rFonts w:ascii="Arial" w:hAnsi="Arial" w:cs="Arial"/>
          <w:color w:val="000000"/>
          <w:sz w:val="20"/>
          <w:szCs w:val="20"/>
          <w:lang w:val="it-IT"/>
        </w:rPr>
        <w:t>dei beni</w:t>
      </w:r>
      <w:r w:rsidRPr="00656794">
        <w:rPr>
          <w:rFonts w:ascii="Arial" w:hAnsi="Arial" w:cs="Arial"/>
          <w:color w:val="000000"/>
          <w:sz w:val="20"/>
          <w:szCs w:val="20"/>
          <w:lang w:val="it-IT"/>
        </w:rPr>
        <w:t xml:space="preserve"> di ZIL, valutati su base </w:t>
      </w:r>
      <w:r w:rsidR="00C175A0" w:rsidRPr="00656794">
        <w:rPr>
          <w:rFonts w:ascii="Arial" w:hAnsi="Arial" w:cs="Arial"/>
          <w:color w:val="000000"/>
          <w:sz w:val="20"/>
          <w:szCs w:val="20"/>
          <w:lang w:val="it-IT"/>
        </w:rPr>
        <w:t>di GAAP locali italiani</w:t>
      </w:r>
      <w:r w:rsidRPr="00656794">
        <w:rPr>
          <w:rFonts w:ascii="Arial" w:hAnsi="Arial" w:cs="Arial"/>
          <w:color w:val="000000"/>
          <w:sz w:val="20"/>
          <w:szCs w:val="20"/>
          <w:lang w:val="it-IT"/>
        </w:rPr>
        <w:t>, al 31 dicembre 2020 e</w:t>
      </w:r>
      <w:r w:rsidR="008A4E09">
        <w:rPr>
          <w:rFonts w:ascii="Arial" w:hAnsi="Arial" w:cs="Arial"/>
          <w:color w:val="000000"/>
          <w:sz w:val="20"/>
          <w:szCs w:val="20"/>
          <w:lang w:val="it-IT"/>
        </w:rPr>
        <w:t>d</w:t>
      </w:r>
      <w:r w:rsidRPr="00656794">
        <w:rPr>
          <w:rFonts w:ascii="Arial" w:hAnsi="Arial" w:cs="Arial"/>
          <w:color w:val="000000"/>
          <w:sz w:val="20"/>
          <w:szCs w:val="20"/>
          <w:lang w:val="it-IT"/>
        </w:rPr>
        <w:t xml:space="preserve"> al 30 giugno 2021.</w:t>
      </w:r>
    </w:p>
    <w:tbl>
      <w:tblPr>
        <w:tblW w:w="0" w:type="auto"/>
        <w:tblCellMar>
          <w:top w:w="15" w:type="dxa"/>
          <w:left w:w="15" w:type="dxa"/>
          <w:bottom w:w="15" w:type="dxa"/>
          <w:right w:w="15" w:type="dxa"/>
        </w:tblCellMar>
        <w:tblLook w:val="04A0" w:firstRow="1" w:lastRow="0" w:firstColumn="1" w:lastColumn="0" w:noHBand="0" w:noVBand="1"/>
      </w:tblPr>
      <w:tblGrid>
        <w:gridCol w:w="6227"/>
        <w:gridCol w:w="1276"/>
        <w:gridCol w:w="1503"/>
      </w:tblGrid>
      <w:tr w:rsidR="0076313D" w:rsidRPr="00656794" w14:paraId="5D7251D0" w14:textId="77777777" w:rsidTr="000F279B">
        <w:trPr>
          <w:trHeight w:val="293"/>
        </w:trPr>
        <w:tc>
          <w:tcPr>
            <w:tcW w:w="0" w:type="auto"/>
            <w:gridSpan w:val="3"/>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0F702CC6" w14:textId="6617257F" w:rsidR="0076313D" w:rsidRPr="00656794" w:rsidRDefault="0076313D" w:rsidP="000F279B">
            <w:pPr>
              <w:spacing w:before="98" w:after="0" w:line="240" w:lineRule="auto"/>
              <w:ind w:right="1004"/>
              <w:rPr>
                <w:rFonts w:ascii="Times New Roman" w:eastAsia="Times New Roman" w:hAnsi="Times New Roman" w:cs="Times New Roman"/>
                <w:sz w:val="24"/>
                <w:szCs w:val="24"/>
                <w:lang w:val="it-IT" w:eastAsia="en-IE"/>
              </w:rPr>
            </w:pPr>
            <w:r w:rsidRPr="00656794">
              <w:rPr>
                <w:rFonts w:ascii="Arial" w:eastAsia="Times New Roman" w:hAnsi="Arial" w:cs="Arial"/>
                <w:color w:val="FFFFFF" w:themeColor="background1"/>
                <w:sz w:val="20"/>
                <w:szCs w:val="20"/>
                <w:lang w:val="it-IT" w:eastAsia="en-IE"/>
              </w:rPr>
              <w:t>Tab</w:t>
            </w:r>
            <w:r w:rsidR="003C6CC5" w:rsidRPr="00656794">
              <w:rPr>
                <w:rFonts w:ascii="Arial" w:eastAsia="Times New Roman" w:hAnsi="Arial" w:cs="Arial"/>
                <w:color w:val="FFFFFF" w:themeColor="background1"/>
                <w:sz w:val="20"/>
                <w:szCs w:val="20"/>
                <w:lang w:val="it-IT" w:eastAsia="en-IE"/>
              </w:rPr>
              <w:t>ella</w:t>
            </w:r>
            <w:r w:rsidRPr="00656794">
              <w:rPr>
                <w:rFonts w:ascii="Arial" w:eastAsia="Times New Roman" w:hAnsi="Arial" w:cs="Arial"/>
                <w:color w:val="FFFFFF" w:themeColor="background1"/>
                <w:sz w:val="20"/>
                <w:szCs w:val="20"/>
                <w:lang w:val="it-IT" w:eastAsia="en-IE"/>
              </w:rPr>
              <w:t xml:space="preserve"> 3.3 </w:t>
            </w:r>
            <w:r w:rsidR="003C6CC5" w:rsidRPr="00656794">
              <w:rPr>
                <w:rFonts w:ascii="Arial" w:eastAsia="Times New Roman" w:hAnsi="Arial" w:cs="Arial"/>
                <w:color w:val="FFFFFF" w:themeColor="background1"/>
                <w:sz w:val="20"/>
                <w:szCs w:val="20"/>
                <w:lang w:val="it-IT" w:eastAsia="en-IE"/>
              </w:rPr>
              <w:t>Beni</w:t>
            </w:r>
            <w:r w:rsidRPr="00656794">
              <w:rPr>
                <w:rFonts w:ascii="Arial" w:eastAsia="Times New Roman" w:hAnsi="Arial" w:cs="Arial"/>
                <w:color w:val="FFFFFF" w:themeColor="background1"/>
                <w:sz w:val="20"/>
                <w:szCs w:val="20"/>
                <w:lang w:val="it-IT" w:eastAsia="en-IE"/>
              </w:rPr>
              <w:t xml:space="preserve"> - €m</w:t>
            </w:r>
          </w:p>
        </w:tc>
      </w:tr>
      <w:tr w:rsidR="0076313D" w:rsidRPr="00656794" w14:paraId="7E0C175F" w14:textId="77777777" w:rsidTr="002F77AA">
        <w:trPr>
          <w:trHeight w:val="135"/>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98703" w14:textId="77777777" w:rsidR="0076313D" w:rsidRPr="00656794" w:rsidRDefault="0076313D" w:rsidP="0076313D">
            <w:pPr>
              <w:spacing w:after="0" w:line="240" w:lineRule="auto"/>
              <w:rPr>
                <w:rFonts w:ascii="Times New Roman" w:eastAsia="Times New Roman" w:hAnsi="Times New Roman" w:cs="Times New Roman"/>
                <w:sz w:val="24"/>
                <w:szCs w:val="24"/>
                <w:lang w:val="it-IT" w:eastAsia="en-IE"/>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D2787" w14:textId="41A067DE" w:rsidR="0076313D" w:rsidRPr="00656794" w:rsidRDefault="0076313D" w:rsidP="0076313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 xml:space="preserve">31 </w:t>
            </w:r>
            <w:r w:rsidR="003C6CC5" w:rsidRPr="00656794">
              <w:rPr>
                <w:rFonts w:ascii="Arial" w:eastAsia="Times New Roman" w:hAnsi="Arial" w:cs="Arial"/>
                <w:b/>
                <w:bCs/>
                <w:color w:val="000000"/>
                <w:sz w:val="18"/>
                <w:szCs w:val="18"/>
                <w:shd w:val="clear" w:color="auto" w:fill="FFFFFF"/>
                <w:lang w:val="it-IT" w:eastAsia="en-IE"/>
              </w:rPr>
              <w:t xml:space="preserve">dic </w:t>
            </w:r>
            <w:r w:rsidRPr="00656794">
              <w:rPr>
                <w:rFonts w:ascii="Arial" w:eastAsia="Times New Roman" w:hAnsi="Arial" w:cs="Arial"/>
                <w:b/>
                <w:bCs/>
                <w:color w:val="000000"/>
                <w:sz w:val="18"/>
                <w:szCs w:val="18"/>
                <w:shd w:val="clear" w:color="auto" w:fill="FFFFFF"/>
                <w:lang w:val="it-IT" w:eastAsia="en-IE"/>
              </w:rPr>
              <w:t>2020 </w:t>
            </w:r>
          </w:p>
        </w:tc>
        <w:tc>
          <w:tcPr>
            <w:tcW w:w="1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22AAE" w14:textId="647A005A" w:rsidR="0076313D" w:rsidRPr="00656794" w:rsidRDefault="0076313D" w:rsidP="0076313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 xml:space="preserve">30 </w:t>
            </w:r>
            <w:r w:rsidR="003C6CC5" w:rsidRPr="00656794">
              <w:rPr>
                <w:rFonts w:ascii="Arial" w:eastAsia="Times New Roman" w:hAnsi="Arial" w:cs="Arial"/>
                <w:b/>
                <w:bCs/>
                <w:color w:val="000000"/>
                <w:sz w:val="18"/>
                <w:szCs w:val="18"/>
                <w:shd w:val="clear" w:color="auto" w:fill="FFFFFF"/>
                <w:lang w:val="it-IT" w:eastAsia="en-IE"/>
              </w:rPr>
              <w:t xml:space="preserve">giugno </w:t>
            </w:r>
            <w:r w:rsidRPr="00656794">
              <w:rPr>
                <w:rFonts w:ascii="Arial" w:eastAsia="Times New Roman" w:hAnsi="Arial" w:cs="Arial"/>
                <w:b/>
                <w:bCs/>
                <w:color w:val="000000"/>
                <w:sz w:val="18"/>
                <w:szCs w:val="18"/>
                <w:shd w:val="clear" w:color="auto" w:fill="FFFFFF"/>
                <w:lang w:val="it-IT" w:eastAsia="en-IE"/>
              </w:rPr>
              <w:t>2021</w:t>
            </w:r>
          </w:p>
        </w:tc>
      </w:tr>
      <w:tr w:rsidR="003C6CC5" w:rsidRPr="00656794" w14:paraId="3D57EE7E" w14:textId="77777777" w:rsidTr="002F77AA">
        <w:trPr>
          <w:trHeight w:val="294"/>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98043" w14:textId="1A182CD4" w:rsidR="003C6CC5" w:rsidRPr="00656794" w:rsidRDefault="003C6CC5" w:rsidP="002F77AA">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Beni immateriali (es. buona volontà)</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A61C9" w14:textId="55C44EF6"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19,9 </w:t>
            </w:r>
          </w:p>
        </w:tc>
        <w:tc>
          <w:tcPr>
            <w:tcW w:w="1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60E86" w14:textId="6E9B7A2B"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16,5</w:t>
            </w:r>
          </w:p>
        </w:tc>
      </w:tr>
      <w:tr w:rsidR="003C6CC5" w:rsidRPr="00656794" w14:paraId="4D6D0BAA" w14:textId="77777777" w:rsidTr="002F77AA">
        <w:trPr>
          <w:trHeight w:val="293"/>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51A02" w14:textId="3DE41391" w:rsidR="003C6CC5" w:rsidRPr="00656794" w:rsidRDefault="003C6CC5" w:rsidP="002F77AA">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Imposta differita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3AE72" w14:textId="561F03BE"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34,9 </w:t>
            </w:r>
          </w:p>
        </w:tc>
        <w:tc>
          <w:tcPr>
            <w:tcW w:w="1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81EA8" w14:textId="77A38FF3"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28,4</w:t>
            </w:r>
          </w:p>
        </w:tc>
      </w:tr>
      <w:tr w:rsidR="003C6CC5" w:rsidRPr="00656794" w14:paraId="47C78E8F" w14:textId="77777777" w:rsidTr="002F77AA">
        <w:trPr>
          <w:trHeight w:val="329"/>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563AE" w14:textId="3E695825" w:rsidR="003C6CC5" w:rsidRPr="00656794" w:rsidRDefault="003C6CC5" w:rsidP="002F77AA">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Immobili, impianti e macchinari</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DEBC5" w14:textId="5B5A7B8D"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0,3 </w:t>
            </w:r>
          </w:p>
        </w:tc>
        <w:tc>
          <w:tcPr>
            <w:tcW w:w="1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AAB39" w14:textId="32A7AB30"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0,2</w:t>
            </w:r>
          </w:p>
        </w:tc>
      </w:tr>
      <w:tr w:rsidR="003C6CC5" w:rsidRPr="00656794" w14:paraId="25FFB33D" w14:textId="77777777" w:rsidTr="002F77AA">
        <w:trPr>
          <w:trHeight w:val="479"/>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4F085" w14:textId="19C5EC97" w:rsidR="003C6CC5" w:rsidRPr="00656794" w:rsidRDefault="003C6CC5" w:rsidP="002F77AA">
            <w:pPr>
              <w:spacing w:after="0" w:line="240" w:lineRule="auto"/>
              <w:ind w:right="798"/>
              <w:rPr>
                <w:rFonts w:ascii="Arial" w:eastAsia="Times New Roman" w:hAnsi="Arial" w:cs="Arial"/>
                <w:sz w:val="18"/>
                <w:szCs w:val="18"/>
                <w:lang w:val="it-IT" w:eastAsia="en-IE"/>
              </w:rPr>
            </w:pPr>
            <w:r w:rsidRPr="00656794">
              <w:rPr>
                <w:rFonts w:ascii="Arial" w:hAnsi="Arial" w:cs="Arial"/>
                <w:sz w:val="18"/>
                <w:szCs w:val="18"/>
                <w:lang w:val="it-IT"/>
              </w:rPr>
              <w:t>Investimenti (diversi dalle attività detenute per contratti index-linked e unit-linked)</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BFFB9" w14:textId="72BB0814"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11.680,2 </w:t>
            </w:r>
          </w:p>
        </w:tc>
        <w:tc>
          <w:tcPr>
            <w:tcW w:w="1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E3B23" w14:textId="2D211CD5"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11.742,7</w:t>
            </w:r>
          </w:p>
        </w:tc>
      </w:tr>
      <w:tr w:rsidR="003C6CC5" w:rsidRPr="00656794" w14:paraId="1D1F3429" w14:textId="77777777" w:rsidTr="002F77AA">
        <w:trPr>
          <w:trHeight w:val="294"/>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BF902" w14:textId="278781D8" w:rsidR="003C6CC5" w:rsidRPr="00656794" w:rsidRDefault="003C6CC5" w:rsidP="002F77AA">
            <w:pPr>
              <w:spacing w:after="0" w:line="240" w:lineRule="auto"/>
              <w:rPr>
                <w:rFonts w:ascii="Arial" w:eastAsia="Times New Roman" w:hAnsi="Arial" w:cs="Arial"/>
                <w:i/>
                <w:iCs/>
                <w:sz w:val="18"/>
                <w:szCs w:val="18"/>
                <w:lang w:val="it-IT" w:eastAsia="en-IE"/>
              </w:rPr>
            </w:pPr>
            <w:r w:rsidRPr="00656794">
              <w:rPr>
                <w:rFonts w:ascii="Arial" w:hAnsi="Arial" w:cs="Arial"/>
                <w:i/>
                <w:iCs/>
                <w:sz w:val="18"/>
                <w:szCs w:val="18"/>
                <w:lang w:val="it-IT"/>
              </w:rPr>
              <w:t>- Equità</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CB75D" w14:textId="0C123E94"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i/>
                <w:iCs/>
                <w:color w:val="000000"/>
                <w:sz w:val="18"/>
                <w:szCs w:val="18"/>
                <w:shd w:val="clear" w:color="auto" w:fill="FFFFFF"/>
                <w:lang w:val="it-IT" w:eastAsia="en-IE"/>
              </w:rPr>
              <w:t>495,6 </w:t>
            </w:r>
          </w:p>
        </w:tc>
        <w:tc>
          <w:tcPr>
            <w:tcW w:w="1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34B5D" w14:textId="613C85CD"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i/>
                <w:iCs/>
                <w:color w:val="000000"/>
                <w:sz w:val="18"/>
                <w:szCs w:val="18"/>
                <w:shd w:val="clear" w:color="auto" w:fill="FFFFFF"/>
                <w:lang w:val="it-IT" w:eastAsia="en-IE"/>
              </w:rPr>
              <w:t>536,7</w:t>
            </w:r>
          </w:p>
        </w:tc>
      </w:tr>
      <w:tr w:rsidR="003C6CC5" w:rsidRPr="00656794" w14:paraId="522B82C9" w14:textId="77777777" w:rsidTr="002F77AA">
        <w:trPr>
          <w:trHeight w:val="293"/>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0C8A8" w14:textId="7E868245" w:rsidR="003C6CC5" w:rsidRPr="00656794" w:rsidRDefault="003C6CC5" w:rsidP="002F77AA">
            <w:pPr>
              <w:spacing w:after="0" w:line="240" w:lineRule="auto"/>
              <w:rPr>
                <w:rFonts w:ascii="Arial" w:eastAsia="Times New Roman" w:hAnsi="Arial" w:cs="Arial"/>
                <w:i/>
                <w:iCs/>
                <w:sz w:val="18"/>
                <w:szCs w:val="18"/>
                <w:lang w:val="it-IT" w:eastAsia="en-IE"/>
              </w:rPr>
            </w:pPr>
            <w:r w:rsidRPr="00656794">
              <w:rPr>
                <w:rFonts w:ascii="Arial" w:hAnsi="Arial" w:cs="Arial"/>
                <w:i/>
                <w:iCs/>
                <w:sz w:val="18"/>
                <w:szCs w:val="18"/>
                <w:lang w:val="it-IT"/>
              </w:rPr>
              <w:t>- Obbligazioni*</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EC4F9" w14:textId="3FAE8518"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i/>
                <w:iCs/>
                <w:color w:val="000000"/>
                <w:sz w:val="18"/>
                <w:szCs w:val="18"/>
                <w:shd w:val="clear" w:color="auto" w:fill="FFFFFF"/>
                <w:lang w:val="it-IT" w:eastAsia="en-IE"/>
              </w:rPr>
              <w:t>10.196,1 </w:t>
            </w:r>
          </w:p>
        </w:tc>
        <w:tc>
          <w:tcPr>
            <w:tcW w:w="1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76C88" w14:textId="301C55BA"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i/>
                <w:iCs/>
                <w:color w:val="000000"/>
                <w:sz w:val="18"/>
                <w:szCs w:val="18"/>
                <w:shd w:val="clear" w:color="auto" w:fill="FFFFFF"/>
                <w:lang w:val="it-IT" w:eastAsia="en-IE"/>
              </w:rPr>
              <w:t>10.180,9</w:t>
            </w:r>
          </w:p>
        </w:tc>
      </w:tr>
      <w:tr w:rsidR="003C6CC5" w:rsidRPr="00656794" w14:paraId="1EEC911C" w14:textId="77777777" w:rsidTr="002F77AA">
        <w:trPr>
          <w:trHeight w:val="293"/>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529A4" w14:textId="0E878501" w:rsidR="003C6CC5" w:rsidRPr="00656794" w:rsidRDefault="003C6CC5" w:rsidP="002F77AA">
            <w:pPr>
              <w:spacing w:after="0" w:line="240" w:lineRule="auto"/>
              <w:rPr>
                <w:rFonts w:ascii="Arial" w:eastAsia="Times New Roman" w:hAnsi="Arial" w:cs="Arial"/>
                <w:i/>
                <w:iCs/>
                <w:sz w:val="18"/>
                <w:szCs w:val="18"/>
                <w:lang w:val="it-IT" w:eastAsia="en-IE"/>
              </w:rPr>
            </w:pPr>
            <w:r w:rsidRPr="00656794">
              <w:rPr>
                <w:rFonts w:ascii="Arial" w:hAnsi="Arial" w:cs="Arial"/>
                <w:i/>
                <w:iCs/>
                <w:sz w:val="18"/>
                <w:szCs w:val="18"/>
                <w:lang w:val="it-IT"/>
              </w:rPr>
              <w:t>- Investimenti collettivi di capitale</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B637F" w14:textId="15952E44"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i/>
                <w:iCs/>
                <w:color w:val="000000"/>
                <w:sz w:val="18"/>
                <w:szCs w:val="18"/>
                <w:shd w:val="clear" w:color="auto" w:fill="FFFFFF"/>
                <w:lang w:val="it-IT" w:eastAsia="en-IE"/>
              </w:rPr>
              <w:t>988,5 </w:t>
            </w:r>
          </w:p>
        </w:tc>
        <w:tc>
          <w:tcPr>
            <w:tcW w:w="1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5070F" w14:textId="6E51AA74"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i/>
                <w:iCs/>
                <w:color w:val="000000"/>
                <w:sz w:val="18"/>
                <w:szCs w:val="18"/>
                <w:shd w:val="clear" w:color="auto" w:fill="FFFFFF"/>
                <w:lang w:val="it-IT" w:eastAsia="en-IE"/>
              </w:rPr>
              <w:t>1.025,1</w:t>
            </w:r>
          </w:p>
        </w:tc>
      </w:tr>
      <w:tr w:rsidR="003C6CC5" w:rsidRPr="00656794" w14:paraId="130BB686" w14:textId="77777777" w:rsidTr="002F77AA">
        <w:trPr>
          <w:trHeight w:val="293"/>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79DA9" w14:textId="08D41E34" w:rsidR="003C6CC5" w:rsidRPr="00656794" w:rsidRDefault="003C6CC5" w:rsidP="002F77AA">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Attività detenute per contratti index linked e unit linked</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848F8" w14:textId="7B270EC5"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3.750,4 </w:t>
            </w:r>
          </w:p>
        </w:tc>
        <w:tc>
          <w:tcPr>
            <w:tcW w:w="1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40D36" w14:textId="07352FB8"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4.407,1</w:t>
            </w:r>
          </w:p>
        </w:tc>
      </w:tr>
      <w:tr w:rsidR="003C6CC5" w:rsidRPr="00656794" w14:paraId="0AB6FDA1" w14:textId="77777777" w:rsidTr="002F77AA">
        <w:trPr>
          <w:trHeight w:val="293"/>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5E75B" w14:textId="6545FCBE" w:rsidR="003C6CC5" w:rsidRPr="00656794" w:rsidRDefault="003C6CC5" w:rsidP="002F77AA">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Mutui e prestiti</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95C22" w14:textId="3CF3D3CF"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42,0 </w:t>
            </w:r>
          </w:p>
        </w:tc>
        <w:tc>
          <w:tcPr>
            <w:tcW w:w="1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06887" w14:textId="37413B3A"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27,5</w:t>
            </w:r>
          </w:p>
        </w:tc>
      </w:tr>
      <w:tr w:rsidR="003C6CC5" w:rsidRPr="00656794" w14:paraId="004D3576" w14:textId="77777777" w:rsidTr="002F77AA">
        <w:trPr>
          <w:trHeight w:val="20"/>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CC342" w14:textId="533B1DD4" w:rsidR="003C6CC5" w:rsidRPr="00656794" w:rsidRDefault="003C6CC5" w:rsidP="002F77AA">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Importi recuperabili dalla riassicurazione</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B968A" w14:textId="46D49060"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59,2 </w:t>
            </w:r>
          </w:p>
        </w:tc>
        <w:tc>
          <w:tcPr>
            <w:tcW w:w="15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B04A0" w14:textId="35BDC060" w:rsidR="003C6CC5" w:rsidRPr="00656794" w:rsidRDefault="003C6CC5" w:rsidP="003C6CC5">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60,5</w:t>
            </w:r>
          </w:p>
        </w:tc>
      </w:tr>
    </w:tbl>
    <w:p w14:paraId="7D6F01F8" w14:textId="77777777" w:rsidR="000F279B" w:rsidRPr="00656794" w:rsidRDefault="000F279B" w:rsidP="002F77AA">
      <w:pPr>
        <w:spacing w:after="0" w:line="240" w:lineRule="auto"/>
        <w:rPr>
          <w:rFonts w:ascii="Times New Roman" w:eastAsia="Times New Roman" w:hAnsi="Times New Roman" w:cs="Times New Roman"/>
          <w:sz w:val="6"/>
          <w:szCs w:val="6"/>
          <w:lang w:val="it-IT" w:eastAsia="en-IE"/>
        </w:rPr>
      </w:pPr>
    </w:p>
    <w:tbl>
      <w:tblPr>
        <w:tblW w:w="9062" w:type="dxa"/>
        <w:tblCellMar>
          <w:top w:w="15" w:type="dxa"/>
          <w:left w:w="15" w:type="dxa"/>
          <w:bottom w:w="15" w:type="dxa"/>
          <w:right w:w="15" w:type="dxa"/>
        </w:tblCellMar>
        <w:tblLook w:val="04A0" w:firstRow="1" w:lastRow="0" w:firstColumn="1" w:lastColumn="0" w:noHBand="0" w:noVBand="1"/>
      </w:tblPr>
      <w:tblGrid>
        <w:gridCol w:w="6227"/>
        <w:gridCol w:w="1276"/>
        <w:gridCol w:w="1559"/>
      </w:tblGrid>
      <w:tr w:rsidR="00985E7B" w:rsidRPr="00656794" w14:paraId="60C7D5CA" w14:textId="77777777" w:rsidTr="002F77AA">
        <w:trPr>
          <w:trHeight w:val="293"/>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C3DD1" w14:textId="54B26828" w:rsidR="00985E7B" w:rsidRPr="00656794" w:rsidRDefault="00985E7B" w:rsidP="002F77AA">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Creditori assicurativi e prestiti agli intermediari</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C47BA" w14:textId="2AA44382" w:rsidR="00985E7B" w:rsidRPr="00656794" w:rsidRDefault="00985E7B" w:rsidP="002F77AA">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108,6 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88B61" w14:textId="3FB17ADB" w:rsidR="00985E7B" w:rsidRPr="00656794" w:rsidRDefault="00985E7B" w:rsidP="002F77AA">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71,7</w:t>
            </w:r>
          </w:p>
        </w:tc>
      </w:tr>
      <w:tr w:rsidR="00985E7B" w:rsidRPr="00656794" w14:paraId="7CF2D461" w14:textId="77777777" w:rsidTr="002F77AA">
        <w:trPr>
          <w:trHeight w:val="294"/>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18025" w14:textId="58C6E029" w:rsidR="00985E7B" w:rsidRPr="00656794" w:rsidRDefault="00985E7B" w:rsidP="002F77AA">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Creditori non assicurativi</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DFC82" w14:textId="7E468C14" w:rsidR="00985E7B" w:rsidRPr="00656794" w:rsidRDefault="00985E7B" w:rsidP="00985E7B">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309,1 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CE4D1" w14:textId="2E6A2FF6" w:rsidR="00985E7B" w:rsidRPr="00656794" w:rsidRDefault="00985E7B" w:rsidP="00985E7B">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344,1</w:t>
            </w:r>
          </w:p>
        </w:tc>
      </w:tr>
      <w:tr w:rsidR="00985E7B" w:rsidRPr="00656794" w14:paraId="129E48F5" w14:textId="77777777" w:rsidTr="002F77AA">
        <w:trPr>
          <w:trHeight w:val="293"/>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A7EC2" w14:textId="7A56DF3E" w:rsidR="00985E7B" w:rsidRPr="00656794" w:rsidRDefault="00985E7B" w:rsidP="002F77AA">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Liquidità e mezzi equivalenti</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D9326" w14:textId="7F519349" w:rsidR="00985E7B" w:rsidRPr="00656794" w:rsidRDefault="00985E7B" w:rsidP="00985E7B">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67,1 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2D4E6" w14:textId="056B9665" w:rsidR="00985E7B" w:rsidRPr="00656794" w:rsidRDefault="00985E7B" w:rsidP="00985E7B">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55,2</w:t>
            </w:r>
          </w:p>
        </w:tc>
      </w:tr>
      <w:tr w:rsidR="00985E7B" w:rsidRPr="00656794" w14:paraId="12C801E8" w14:textId="77777777" w:rsidTr="002F77AA">
        <w:trPr>
          <w:trHeight w:val="293"/>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1AAD4" w14:textId="500AAD4A" w:rsidR="00985E7B" w:rsidRPr="00656794" w:rsidRDefault="00985E7B" w:rsidP="002F77AA">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Tutti gli altri beni</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38054" w14:textId="5C0E7CF9" w:rsidR="00985E7B" w:rsidRPr="00656794" w:rsidRDefault="00985E7B" w:rsidP="00985E7B">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0,3 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ECCE9" w14:textId="30C9D009" w:rsidR="00985E7B" w:rsidRPr="00656794" w:rsidRDefault="00985E7B" w:rsidP="00985E7B">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1,9</w:t>
            </w:r>
          </w:p>
        </w:tc>
      </w:tr>
      <w:tr w:rsidR="0076313D" w:rsidRPr="00656794" w14:paraId="5A8BAE81" w14:textId="77777777" w:rsidTr="002F77AA">
        <w:trPr>
          <w:trHeight w:val="293"/>
        </w:trPr>
        <w:tc>
          <w:tcPr>
            <w:tcW w:w="6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DCD0B" w14:textId="62706709" w:rsidR="0076313D" w:rsidRPr="00656794" w:rsidRDefault="0076313D" w:rsidP="0076313D">
            <w:pPr>
              <w:spacing w:after="0" w:line="240" w:lineRule="auto"/>
              <w:ind w:left="117"/>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Total</w:t>
            </w:r>
            <w:r w:rsidR="00985E7B" w:rsidRPr="00656794">
              <w:rPr>
                <w:rFonts w:ascii="Arial" w:eastAsia="Times New Roman" w:hAnsi="Arial" w:cs="Arial"/>
                <w:b/>
                <w:bCs/>
                <w:color w:val="000000"/>
                <w:sz w:val="18"/>
                <w:szCs w:val="18"/>
                <w:shd w:val="clear" w:color="auto" w:fill="FFFFFF"/>
                <w:lang w:val="it-IT" w:eastAsia="en-IE"/>
              </w:rPr>
              <w:t>e</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FD578" w14:textId="6645A993" w:rsidR="0076313D" w:rsidRPr="00656794" w:rsidRDefault="0076313D" w:rsidP="0076313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16</w:t>
            </w:r>
            <w:r w:rsidR="00985E7B"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072</w:t>
            </w:r>
            <w:r w:rsidR="00985E7B"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0 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D3874" w14:textId="05D00F67" w:rsidR="0076313D" w:rsidRPr="00656794" w:rsidRDefault="0076313D" w:rsidP="0076313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16</w:t>
            </w:r>
            <w:r w:rsidR="00985E7B"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755</w:t>
            </w:r>
            <w:r w:rsidR="002F77AA"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8</w:t>
            </w:r>
          </w:p>
        </w:tc>
      </w:tr>
    </w:tbl>
    <w:p w14:paraId="6C9B5065" w14:textId="496D5327" w:rsidR="00F362BE" w:rsidRPr="00656794" w:rsidRDefault="00F362BE" w:rsidP="00F362BE">
      <w:pPr>
        <w:pStyle w:val="NormalWeb"/>
        <w:ind w:right="102"/>
        <w:rPr>
          <w:rFonts w:ascii="Arial" w:hAnsi="Arial" w:cs="Arial"/>
          <w:color w:val="000000"/>
          <w:sz w:val="12"/>
          <w:szCs w:val="12"/>
          <w:lang w:val="it-IT"/>
        </w:rPr>
      </w:pPr>
      <w:r w:rsidRPr="00656794">
        <w:rPr>
          <w:rFonts w:ascii="Arial" w:hAnsi="Arial" w:cs="Arial"/>
          <w:color w:val="000000"/>
          <w:sz w:val="12"/>
          <w:szCs w:val="12"/>
          <w:lang w:val="it-IT"/>
        </w:rPr>
        <w:t>Fonte: SFCR 2020; QRT Q121; Analisi ZIL</w:t>
      </w:r>
      <w:r w:rsidRPr="00656794">
        <w:rPr>
          <w:rFonts w:ascii="Arial" w:hAnsi="Arial" w:cs="Arial"/>
          <w:color w:val="000000"/>
          <w:sz w:val="12"/>
          <w:szCs w:val="12"/>
          <w:lang w:val="it-IT"/>
        </w:rPr>
        <w:br/>
        <w:t>Note: *di cui il 78% investito in titoli di Stato nel 2020; 73% nel secondo trimestre 2021</w:t>
      </w:r>
    </w:p>
    <w:p w14:paraId="58350E8C" w14:textId="43C67758" w:rsidR="0076313D" w:rsidRPr="00656794" w:rsidRDefault="0076313D" w:rsidP="00F362BE">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xml:space="preserve">ZIL gestisce un </w:t>
      </w:r>
      <w:r w:rsidR="008A4E09">
        <w:rPr>
          <w:rFonts w:ascii="Arial" w:hAnsi="Arial" w:cs="Arial"/>
          <w:color w:val="000000"/>
          <w:sz w:val="20"/>
          <w:szCs w:val="20"/>
          <w:lang w:val="it-IT"/>
        </w:rPr>
        <w:t>piano</w:t>
      </w:r>
      <w:r w:rsidRPr="00656794">
        <w:rPr>
          <w:rFonts w:ascii="Arial" w:hAnsi="Arial" w:cs="Arial"/>
          <w:color w:val="000000"/>
          <w:sz w:val="20"/>
          <w:szCs w:val="20"/>
          <w:lang w:val="it-IT"/>
        </w:rPr>
        <w:t xml:space="preserve"> strategico di allocazione delle attività in base al quale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esposizione a ciascun </w:t>
      </w:r>
      <w:r w:rsidR="008A4E09">
        <w:rPr>
          <w:rFonts w:ascii="Arial" w:hAnsi="Arial" w:cs="Arial"/>
          <w:color w:val="000000"/>
          <w:sz w:val="20"/>
          <w:szCs w:val="20"/>
          <w:lang w:val="it-IT"/>
        </w:rPr>
        <w:t>r</w:t>
      </w:r>
      <w:r w:rsidR="008A4E09" w:rsidRPr="00656794">
        <w:rPr>
          <w:rFonts w:ascii="Arial" w:hAnsi="Arial" w:cs="Arial"/>
          <w:color w:val="000000"/>
          <w:sz w:val="20"/>
          <w:szCs w:val="20"/>
          <w:lang w:val="it-IT"/>
        </w:rPr>
        <w:t xml:space="preserve">amo </w:t>
      </w:r>
      <w:r w:rsidRPr="00656794">
        <w:rPr>
          <w:rFonts w:ascii="Arial" w:hAnsi="Arial" w:cs="Arial"/>
          <w:color w:val="000000"/>
          <w:sz w:val="20"/>
          <w:szCs w:val="20"/>
          <w:lang w:val="it-IT"/>
        </w:rPr>
        <w:t xml:space="preserve">di attività è </w:t>
      </w:r>
      <w:r w:rsidR="008A4E09" w:rsidRPr="00656794">
        <w:rPr>
          <w:rFonts w:ascii="Arial" w:hAnsi="Arial" w:cs="Arial"/>
          <w:color w:val="000000"/>
          <w:sz w:val="20"/>
          <w:szCs w:val="20"/>
          <w:lang w:val="it-IT"/>
        </w:rPr>
        <w:t>monitorat</w:t>
      </w:r>
      <w:r w:rsidR="008A4E09">
        <w:rPr>
          <w:rFonts w:ascii="Arial" w:hAnsi="Arial" w:cs="Arial"/>
          <w:color w:val="000000"/>
          <w:sz w:val="20"/>
          <w:szCs w:val="20"/>
          <w:lang w:val="it-IT"/>
        </w:rPr>
        <w:t>a</w:t>
      </w:r>
      <w:r w:rsidR="008A4E09"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con limiti target inferiori, superiori e centrali fissati in linea con la sua politica di gestione degli investimenti.</w:t>
      </w:r>
    </w:p>
    <w:p w14:paraId="22EE564B" w14:textId="5934ED62"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ZIL ha rivisto il proprio profilo </w:t>
      </w:r>
      <w:r w:rsidR="008A4E09" w:rsidRPr="00656794">
        <w:rPr>
          <w:rFonts w:ascii="Arial" w:hAnsi="Arial" w:cs="Arial"/>
          <w:color w:val="000000"/>
          <w:sz w:val="20"/>
          <w:szCs w:val="20"/>
          <w:lang w:val="it-IT"/>
        </w:rPr>
        <w:t xml:space="preserve">strategico di allocazione delle attività </w:t>
      </w:r>
      <w:r w:rsidRPr="00656794">
        <w:rPr>
          <w:rFonts w:ascii="Arial" w:hAnsi="Arial" w:cs="Arial"/>
          <w:color w:val="000000"/>
          <w:sz w:val="20"/>
          <w:szCs w:val="20"/>
          <w:lang w:val="it-IT"/>
        </w:rPr>
        <w:t>nel corso del 2020, in linea con la propria politica di gestione degli investimenti, e nel 2021 dovrebbe compiere una mossa strategica per ridurre la ponderazione dei titoli di stato italiani a favore di classi di investimento alternative come i mutui olandesi e il debito privato/ azioni per ottenere una più ampia diversificazione dei rischi e per cercare rendimenti più elevati.</w:t>
      </w:r>
    </w:p>
    <w:p w14:paraId="6937CF73" w14:textId="04D392C8" w:rsidR="0076313D" w:rsidRPr="00656794" w:rsidRDefault="0076313D" w:rsidP="000F279B">
      <w:pPr>
        <w:spacing w:before="280"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3.3 </w:t>
      </w:r>
      <w:r w:rsidR="003718F3" w:rsidRPr="00656794">
        <w:rPr>
          <w:rFonts w:ascii="Arial" w:eastAsia="Times New Roman" w:hAnsi="Arial" w:cs="Arial"/>
          <w:b/>
          <w:bCs/>
          <w:color w:val="00338D"/>
          <w:sz w:val="28"/>
          <w:szCs w:val="28"/>
          <w:lang w:val="it-IT" w:eastAsia="en-IE"/>
        </w:rPr>
        <w:t>Profilo di rischio e gestione</w:t>
      </w:r>
    </w:p>
    <w:p w14:paraId="1D1E5BCD" w14:textId="69930E65" w:rsidR="0076313D" w:rsidRPr="00656794" w:rsidRDefault="0076313D" w:rsidP="000F279B">
      <w:pPr>
        <w:spacing w:before="138"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3.3.1 </w:t>
      </w:r>
      <w:r w:rsidR="009329E3" w:rsidRPr="00656794">
        <w:rPr>
          <w:rFonts w:ascii="Arial" w:eastAsia="Times New Roman" w:hAnsi="Arial" w:cs="Arial"/>
          <w:color w:val="00338D"/>
          <w:sz w:val="24"/>
          <w:szCs w:val="24"/>
          <w:lang w:val="it-IT" w:eastAsia="en-IE"/>
        </w:rPr>
        <w:t>Panoramica dei rischi</w:t>
      </w:r>
    </w:p>
    <w:p w14:paraId="27CA1FA1" w14:textId="5E83B579"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Di seguito sono riportate le principali esposizioni al rischio di ZIL derivanti dalla sottoscrizione di attività di assicurazione sulla vita e sulla salute come le tradizionali polizze di protezione, le polizze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e </w:t>
      </w:r>
      <w:r w:rsidR="00446E83">
        <w:rPr>
          <w:rFonts w:ascii="Arial" w:hAnsi="Arial" w:cs="Arial"/>
          <w:color w:val="000000"/>
          <w:sz w:val="20"/>
          <w:szCs w:val="20"/>
          <w:lang w:val="it-IT"/>
        </w:rPr>
        <w:t>con profitto</w:t>
      </w:r>
      <w:r w:rsidRPr="00656794">
        <w:rPr>
          <w:rFonts w:ascii="Arial" w:hAnsi="Arial" w:cs="Arial"/>
          <w:color w:val="000000"/>
          <w:sz w:val="20"/>
          <w:szCs w:val="20"/>
          <w:lang w:val="it-IT"/>
        </w:rPr>
        <w:t>:</w:t>
      </w:r>
    </w:p>
    <w:p w14:paraId="05122AFA" w14:textId="77777777" w:rsidR="009329E3"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Rischi di mercato quali rischio azionario, rischio di spread, rischio immobiliare, rischio di tasso di interesse e rischio di cambio; </w:t>
      </w:r>
    </w:p>
    <w:p w14:paraId="102C3B88" w14:textId="499C1D05"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Rischi di sottoscrizione come rischio di estinzione, rischio di spesa, rischio di mortalità, rischio di morbilità e rischio di catastrofe; e</w:t>
      </w:r>
    </w:p>
    <w:p w14:paraId="0BF4944B" w14:textId="0C2F0158"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Rischi di controparte (esposizioni a mutui olandesi, riassicuratori e contanti presso banche, nonché crediti verso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e intermediari assicurativi).</w:t>
      </w:r>
    </w:p>
    <w:p w14:paraId="40E9CA74" w14:textId="77777777"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Si veda la Sezione 3.7.1 per la ripartizione dei dati sul patrimonio di vigilanza per categoria di rischio.</w:t>
      </w:r>
    </w:p>
    <w:p w14:paraId="6408895F" w14:textId="77777777"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ZIL è inoltre esposta a una serie di altri rischi che definiscono come segue:</w:t>
      </w:r>
    </w:p>
    <w:p w14:paraId="368AFB6C" w14:textId="01E8FE9E"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Rischi operativi della gestione del business (business tradizionale 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rischi di processi aziendali, rischi IT, rischi relativi alla sicurezza fisica delle risorse aziendali, rischi relativi alle persone, ad es. rischio di pandemia e persona chiave, rischio di informazioni, rischio di continuità operativa, rischio di frode, rischio di outsourcing e fornitori di servizi, rischio di progetto, rischi legali e di non conformità.</w:t>
      </w:r>
    </w:p>
    <w:p w14:paraId="0CDC2605" w14:textId="77777777"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Rischio di liquidità (il rischio è quando non ci sono abbastanza disponibilità liquide per pagare i sinistri alla scadenza che possono sorgere in scenari di stress);</w:t>
      </w:r>
    </w:p>
    <w:p w14:paraId="58D193D0" w14:textId="74D06AD2" w:rsidR="009329E3"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Rischio reputazionale (il rischio dovuto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impatto di eventi avversi di natura reputazionale); </w:t>
      </w:r>
    </w:p>
    <w:p w14:paraId="260DFB8A" w14:textId="77777777" w:rsidR="009329E3"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Rischi strategici (legati alla potenziale incapacità di raggiungere gli obiettivi strategici); e </w:t>
      </w:r>
    </w:p>
    <w:p w14:paraId="74AB41BD" w14:textId="7B206D4C"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Rischio di Gruppo che include il rischio reputazionale, di contagio, di accumulo, di concentrazione e di operazioni </w:t>
      </w:r>
      <w:r w:rsidR="009329E3" w:rsidRPr="00656794">
        <w:rPr>
          <w:rFonts w:ascii="Arial" w:hAnsi="Arial" w:cs="Arial"/>
          <w:color w:val="000000"/>
          <w:sz w:val="20"/>
          <w:szCs w:val="20"/>
          <w:lang w:val="it-IT"/>
        </w:rPr>
        <w:t>infragruppo</w:t>
      </w:r>
      <w:r w:rsidRPr="00656794">
        <w:rPr>
          <w:rFonts w:ascii="Arial" w:hAnsi="Arial" w:cs="Arial"/>
          <w:color w:val="000000"/>
          <w:sz w:val="20"/>
          <w:szCs w:val="20"/>
          <w:lang w:val="it-IT"/>
        </w:rPr>
        <w:t>.</w:t>
      </w:r>
    </w:p>
    <w:p w14:paraId="376E76AF" w14:textId="4E61CE98"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Questi rischi sono supervisionati e gestiti attivamente dal Consiglio. Il Consiglio esamina tutti i problemi di rischio e conformità che interessano ZIL. Il rischio principale per la sicurezza delle prestazioni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di ZIL è che uno o più dei rischi identificati dia luogo a un evento che renda ZIL insolvente. Dato il profilo di rischio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attività della società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attuale livello di attività disponibili superiore al requisito di margine di solvibilità minimo della società, il rischio di insolvenza e qualsiasi rischio per la sicurezza dei benefici potrebbero essere considerati remoti.</w:t>
      </w:r>
    </w:p>
    <w:p w14:paraId="129759A3" w14:textId="77777777" w:rsidR="0076313D" w:rsidRPr="00656794" w:rsidRDefault="0076313D" w:rsidP="000F279B">
      <w:pPr>
        <w:spacing w:before="142"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3.3.2 Governance </w:t>
      </w:r>
    </w:p>
    <w:p w14:paraId="11E2EAAB" w14:textId="002EAD78"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xml:space="preserve">Il </w:t>
      </w:r>
      <w:r w:rsidR="00785ADD" w:rsidRPr="00656794">
        <w:rPr>
          <w:rFonts w:ascii="Arial" w:hAnsi="Arial" w:cs="Arial"/>
          <w:color w:val="000000"/>
          <w:sz w:val="20"/>
          <w:szCs w:val="20"/>
          <w:lang w:val="it-IT"/>
        </w:rPr>
        <w:t>Quadro di Gestione del Rischio</w:t>
      </w:r>
      <w:r w:rsidRPr="00656794">
        <w:rPr>
          <w:rFonts w:ascii="Arial" w:hAnsi="Arial" w:cs="Arial"/>
          <w:color w:val="000000"/>
          <w:sz w:val="20"/>
          <w:szCs w:val="20"/>
          <w:lang w:val="it-IT"/>
        </w:rPr>
        <w:t xml:space="preserve"> di ZIL identifica i principali rischi emergenti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azienda, valuta tali rischi e fornisce un processo per la gestione dei rischi, nonché il monitoraggio,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escalation e la segnalazione dei rischi. Il Consiglio di Amministrazione ha la responsabilità ultima del </w:t>
      </w:r>
      <w:r w:rsidR="00785ADD" w:rsidRPr="00656794">
        <w:rPr>
          <w:rFonts w:ascii="Arial" w:hAnsi="Arial" w:cs="Arial"/>
          <w:color w:val="000000"/>
          <w:sz w:val="20"/>
          <w:szCs w:val="20"/>
          <w:lang w:val="it-IT"/>
        </w:rPr>
        <w:t>Quadro di Gestione del Rischio</w:t>
      </w:r>
      <w:r w:rsidRPr="00656794">
        <w:rPr>
          <w:rFonts w:ascii="Arial" w:hAnsi="Arial" w:cs="Arial"/>
          <w:color w:val="000000"/>
          <w:sz w:val="20"/>
          <w:szCs w:val="20"/>
          <w:lang w:val="it-IT"/>
        </w:rPr>
        <w:t xml:space="preserve"> e dei relativi controlli. Con la supervisione del Consiglio, la Società ha implementato un quadro di gestione del rischio che include:</w:t>
      </w:r>
    </w:p>
    <w:p w14:paraId="49516AE0" w14:textId="77777777"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Un quadro di propensione al rischio;</w:t>
      </w:r>
    </w:p>
    <w:p w14:paraId="537DFB86" w14:textId="193F8368"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867942" w:rsidRPr="00656794">
        <w:rPr>
          <w:rFonts w:ascii="Arial" w:hAnsi="Arial" w:cs="Arial"/>
          <w:color w:val="000000"/>
          <w:sz w:val="20"/>
          <w:szCs w:val="20"/>
          <w:lang w:val="it-IT"/>
        </w:rPr>
        <w:t>Una dashboard</w:t>
      </w:r>
      <w:r w:rsidRPr="00656794">
        <w:rPr>
          <w:rFonts w:ascii="Arial" w:hAnsi="Arial" w:cs="Arial"/>
          <w:color w:val="000000"/>
          <w:sz w:val="20"/>
          <w:szCs w:val="20"/>
          <w:lang w:val="it-IT"/>
        </w:rPr>
        <w:t xml:space="preserve"> dei rischi;</w:t>
      </w:r>
    </w:p>
    <w:p w14:paraId="23272FF4" w14:textId="7DD5B9DF"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Una suite di </w:t>
      </w:r>
      <w:r w:rsidR="00FA60F2">
        <w:rPr>
          <w:rFonts w:ascii="Arial" w:hAnsi="Arial" w:cs="Arial"/>
          <w:color w:val="000000"/>
          <w:sz w:val="20"/>
          <w:szCs w:val="20"/>
          <w:lang w:val="it-IT"/>
        </w:rPr>
        <w:t>p</w:t>
      </w:r>
      <w:r w:rsidR="00E33A01">
        <w:rPr>
          <w:rFonts w:ascii="Arial" w:hAnsi="Arial" w:cs="Arial"/>
          <w:color w:val="000000"/>
          <w:sz w:val="20"/>
          <w:szCs w:val="20"/>
          <w:lang w:val="it-IT"/>
        </w:rPr>
        <w:t>olitiche</w:t>
      </w:r>
      <w:r w:rsidRPr="00656794">
        <w:rPr>
          <w:rFonts w:ascii="Arial" w:hAnsi="Arial" w:cs="Arial"/>
          <w:color w:val="000000"/>
          <w:sz w:val="20"/>
          <w:szCs w:val="20"/>
          <w:lang w:val="it-IT"/>
        </w:rPr>
        <w:t xml:space="preserve"> di rischio formali;</w:t>
      </w:r>
    </w:p>
    <w:p w14:paraId="3167692D" w14:textId="2A69FD92"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Nomina di un Chief Risk Officer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CRO</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e di un Chief Executive Officer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CEO</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che hanno responsabilità formali secondo quanto previsto dal</w:t>
      </w:r>
      <w:r w:rsidR="00CF6E08" w:rsidRPr="00656794">
        <w:rPr>
          <w:lang w:val="it-IT"/>
        </w:rPr>
        <w:t xml:space="preserve"> </w:t>
      </w:r>
      <w:r w:rsidR="00CF6E08" w:rsidRPr="00656794">
        <w:rPr>
          <w:rFonts w:ascii="Arial" w:hAnsi="Arial" w:cs="Arial"/>
          <w:color w:val="000000"/>
          <w:sz w:val="20"/>
          <w:szCs w:val="20"/>
          <w:lang w:val="it-IT"/>
        </w:rPr>
        <w:t>Quadro della propensione al rischio</w:t>
      </w:r>
      <w:r w:rsidRPr="00656794">
        <w:rPr>
          <w:rFonts w:ascii="Arial" w:hAnsi="Arial" w:cs="Arial"/>
          <w:color w:val="000000"/>
          <w:sz w:val="20"/>
          <w:szCs w:val="20"/>
          <w:lang w:val="it-IT"/>
        </w:rPr>
        <w:t>; e</w:t>
      </w:r>
    </w:p>
    <w:p w14:paraId="673AAC67" w14:textId="77777777"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Una funzione di audit interno.</w:t>
      </w:r>
    </w:p>
    <w:p w14:paraId="50F4C914" w14:textId="725FF38B"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Il </w:t>
      </w:r>
      <w:r w:rsidR="00785ADD" w:rsidRPr="00656794">
        <w:rPr>
          <w:rFonts w:ascii="Arial" w:hAnsi="Arial" w:cs="Arial"/>
          <w:color w:val="000000"/>
          <w:sz w:val="20"/>
          <w:szCs w:val="20"/>
          <w:lang w:val="it-IT"/>
        </w:rPr>
        <w:t>Quadro di Gestione del Rischio</w:t>
      </w:r>
      <w:r w:rsidRPr="00656794">
        <w:rPr>
          <w:rFonts w:ascii="Arial" w:hAnsi="Arial" w:cs="Arial"/>
          <w:color w:val="000000"/>
          <w:sz w:val="20"/>
          <w:szCs w:val="20"/>
          <w:lang w:val="it-IT"/>
        </w:rPr>
        <w:t xml:space="preserve"> </w:t>
      </w:r>
      <w:r w:rsidR="0047587B">
        <w:rPr>
          <w:rFonts w:ascii="Arial" w:hAnsi="Arial" w:cs="Arial"/>
          <w:color w:val="000000"/>
          <w:sz w:val="20"/>
          <w:szCs w:val="20"/>
          <w:lang w:val="it-IT"/>
        </w:rPr>
        <w:t>viene</w:t>
      </w:r>
      <w:r w:rsidR="0047587B"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rivisto almeno una volta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anno dal Consiglio di Amministrazione di ZIL. Il </w:t>
      </w:r>
      <w:r w:rsidR="00785ADD" w:rsidRPr="00656794">
        <w:rPr>
          <w:rFonts w:ascii="Arial" w:hAnsi="Arial" w:cs="Arial"/>
          <w:color w:val="000000"/>
          <w:sz w:val="20"/>
          <w:szCs w:val="20"/>
          <w:lang w:val="it-IT"/>
        </w:rPr>
        <w:t>Quadro di Gestione del Rischio</w:t>
      </w:r>
      <w:r w:rsidRPr="00656794">
        <w:rPr>
          <w:rFonts w:ascii="Arial" w:hAnsi="Arial" w:cs="Arial"/>
          <w:color w:val="000000"/>
          <w:sz w:val="20"/>
          <w:szCs w:val="20"/>
          <w:lang w:val="it-IT"/>
        </w:rPr>
        <w:t xml:space="preserve"> cerca di collegare la strategia di ZIL e il livello richiesto di capitale regolamentare con la propensione al rischio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azienda, che è supportata da una serie di </w:t>
      </w:r>
      <w:r w:rsidR="00FA60F2">
        <w:rPr>
          <w:rFonts w:ascii="Arial" w:hAnsi="Arial" w:cs="Arial"/>
          <w:color w:val="000000"/>
          <w:sz w:val="20"/>
          <w:szCs w:val="20"/>
          <w:lang w:val="it-IT"/>
        </w:rPr>
        <w:t>po</w:t>
      </w:r>
      <w:r w:rsidR="00E33A01">
        <w:rPr>
          <w:rFonts w:ascii="Arial" w:hAnsi="Arial" w:cs="Arial"/>
          <w:color w:val="000000"/>
          <w:sz w:val="20"/>
          <w:szCs w:val="20"/>
          <w:lang w:val="it-IT"/>
        </w:rPr>
        <w:t>litiche</w:t>
      </w:r>
      <w:r w:rsidRPr="00656794">
        <w:rPr>
          <w:rFonts w:ascii="Arial" w:hAnsi="Arial" w:cs="Arial"/>
          <w:color w:val="000000"/>
          <w:sz w:val="20"/>
          <w:szCs w:val="20"/>
          <w:lang w:val="it-IT"/>
        </w:rPr>
        <w:t xml:space="preserve"> di rischio. Queste </w:t>
      </w:r>
      <w:r w:rsidR="00FA60F2">
        <w:rPr>
          <w:rFonts w:ascii="Arial" w:hAnsi="Arial" w:cs="Arial"/>
          <w:color w:val="000000"/>
          <w:sz w:val="20"/>
          <w:szCs w:val="20"/>
          <w:lang w:val="it-IT"/>
        </w:rPr>
        <w:t>poli</w:t>
      </w:r>
      <w:r w:rsidR="00E33A01">
        <w:rPr>
          <w:rFonts w:ascii="Arial" w:hAnsi="Arial" w:cs="Arial"/>
          <w:color w:val="000000"/>
          <w:sz w:val="20"/>
          <w:szCs w:val="20"/>
          <w:lang w:val="it-IT"/>
        </w:rPr>
        <w:t>tiche</w:t>
      </w:r>
      <w:r w:rsidRPr="00656794">
        <w:rPr>
          <w:rFonts w:ascii="Arial" w:hAnsi="Arial" w:cs="Arial"/>
          <w:color w:val="000000"/>
          <w:sz w:val="20"/>
          <w:szCs w:val="20"/>
          <w:lang w:val="it-IT"/>
        </w:rPr>
        <w:t xml:space="preserve"> sono riviste e approvate dal Consiglio di ZIL su base annuale o più frequentemente se ritenuto opportuno.</w:t>
      </w:r>
    </w:p>
    <w:p w14:paraId="59D2E00D" w14:textId="52D4953A"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Il Consiglio ha istituito il Comitato Consiliare Rischi (cd Comitato per i Controlli Interni e Rischi) e il Comitato per la Remunerazione, delegando loro poteri consultivi e propositivi.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di ZIL sono presenti numerosi altri comitati istituiti dal management, tra cui il Comitato per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alta dirigenza, il Comitato per il controllo e il rischio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Asset Liability Management &amp; Investments Committee. A ciascun comitato sono state delegate le questioni per la revisione 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approvazione come stabilito nei rispettivi termini di riferimento. Ulteriori dettagli su questi e sulle altre caratteristiche chiave delle strutture di governance di ZIL sono riportati di seguito.</w:t>
      </w:r>
    </w:p>
    <w:p w14:paraId="09EA401F" w14:textId="77777777"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Il Comitato Rischi del Consiglio è un sottocomitato del Consiglio e si compone di tre membri del Consiglio ed è presieduto da un membro indipendente del Consiglio. Le principali responsabilità del comitato sono:</w:t>
      </w:r>
    </w:p>
    <w:p w14:paraId="7AAAA03A" w14:textId="395B0F14" w:rsidR="0076313D" w:rsidRPr="00656794" w:rsidRDefault="0076313D" w:rsidP="00E06A60">
      <w:pPr>
        <w:pStyle w:val="NormalWeb"/>
        <w:numPr>
          <w:ilvl w:val="0"/>
          <w:numId w:val="22"/>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consigliare il Consiglio in merito alla nomina del Responsabile della funzione di </w:t>
      </w:r>
      <w:r w:rsidR="00D821AB" w:rsidRPr="00656794">
        <w:rPr>
          <w:rFonts w:ascii="Arial" w:hAnsi="Arial" w:cs="Arial"/>
          <w:color w:val="000000"/>
          <w:sz w:val="20"/>
          <w:szCs w:val="20"/>
          <w:lang w:val="it-IT"/>
        </w:rPr>
        <w:t>Audit interno</w:t>
      </w:r>
      <w:r w:rsidRPr="00656794">
        <w:rPr>
          <w:rFonts w:ascii="Arial" w:hAnsi="Arial" w:cs="Arial"/>
          <w:color w:val="000000"/>
          <w:sz w:val="20"/>
          <w:szCs w:val="20"/>
          <w:lang w:val="it-IT"/>
        </w:rPr>
        <w:t xml:space="preserve"> e può richiedere alla funzione di </w:t>
      </w:r>
      <w:r w:rsidR="00D821AB" w:rsidRPr="00656794">
        <w:rPr>
          <w:rFonts w:ascii="Arial" w:hAnsi="Arial" w:cs="Arial"/>
          <w:color w:val="000000"/>
          <w:sz w:val="20"/>
          <w:szCs w:val="20"/>
          <w:lang w:val="it-IT"/>
        </w:rPr>
        <w:t>Audit interno</w:t>
      </w:r>
      <w:r w:rsidRPr="00656794">
        <w:rPr>
          <w:rFonts w:ascii="Arial" w:hAnsi="Arial" w:cs="Arial"/>
          <w:color w:val="000000"/>
          <w:sz w:val="20"/>
          <w:szCs w:val="20"/>
          <w:lang w:val="it-IT"/>
        </w:rPr>
        <w:t xml:space="preserve"> lo svolgimento di specifiche verifiche;</w:t>
      </w:r>
    </w:p>
    <w:p w14:paraId="7ED1CF65" w14:textId="57266501" w:rsidR="0076313D" w:rsidRPr="00656794" w:rsidRDefault="0076313D" w:rsidP="00E06A60">
      <w:pPr>
        <w:pStyle w:val="NormalWeb"/>
        <w:numPr>
          <w:ilvl w:val="0"/>
          <w:numId w:val="22"/>
        </w:numPr>
        <w:ind w:right="102"/>
        <w:jc w:val="both"/>
        <w:rPr>
          <w:rFonts w:ascii="Arial" w:hAnsi="Arial" w:cs="Arial"/>
          <w:color w:val="000000"/>
          <w:sz w:val="20"/>
          <w:szCs w:val="20"/>
          <w:lang w:val="it-IT"/>
        </w:rPr>
      </w:pPr>
      <w:r w:rsidRPr="00656794">
        <w:rPr>
          <w:rFonts w:ascii="Arial" w:hAnsi="Arial" w:cs="Arial"/>
          <w:color w:val="000000"/>
          <w:sz w:val="20"/>
          <w:szCs w:val="20"/>
          <w:lang w:val="it-IT"/>
        </w:rPr>
        <w:t>consigliare il Consiglio in merito alla propensione al rischio e alle tolleranze; e</w:t>
      </w:r>
    </w:p>
    <w:p w14:paraId="520E5F7C" w14:textId="665212EA" w:rsidR="0076313D" w:rsidRPr="00656794" w:rsidRDefault="0076313D" w:rsidP="00E06A60">
      <w:pPr>
        <w:pStyle w:val="NormalWeb"/>
        <w:numPr>
          <w:ilvl w:val="0"/>
          <w:numId w:val="22"/>
        </w:numPr>
        <w:ind w:right="102"/>
        <w:jc w:val="both"/>
        <w:rPr>
          <w:rFonts w:ascii="Arial" w:hAnsi="Arial" w:cs="Arial"/>
          <w:color w:val="000000"/>
          <w:sz w:val="20"/>
          <w:szCs w:val="20"/>
          <w:lang w:val="it-IT"/>
        </w:rPr>
      </w:pPr>
      <w:r w:rsidRPr="00656794">
        <w:rPr>
          <w:rFonts w:ascii="Arial" w:hAnsi="Arial" w:cs="Arial"/>
          <w:color w:val="000000"/>
          <w:sz w:val="20"/>
          <w:szCs w:val="20"/>
          <w:lang w:val="it-IT"/>
        </w:rPr>
        <w:t>fornire un parere sulle assunzioni e sulle metodologie a supporto delle Riserve Tecniche, delle proiezioni ORSA,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attività di capital management 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eventuale segnalazione al Consiglio o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in materia di rischi e controlli; e</w:t>
      </w:r>
    </w:p>
    <w:p w14:paraId="0C71F363" w14:textId="00836709" w:rsidR="0076313D" w:rsidRPr="00656794" w:rsidRDefault="0076313D" w:rsidP="00E06A60">
      <w:pPr>
        <w:pStyle w:val="NormalWeb"/>
        <w:numPr>
          <w:ilvl w:val="0"/>
          <w:numId w:val="22"/>
        </w:numPr>
        <w:ind w:right="102"/>
        <w:jc w:val="both"/>
        <w:rPr>
          <w:rFonts w:ascii="Arial" w:hAnsi="Arial" w:cs="Arial"/>
          <w:color w:val="000000"/>
          <w:sz w:val="20"/>
          <w:szCs w:val="20"/>
          <w:lang w:val="it-IT"/>
        </w:rPr>
      </w:pPr>
      <w:r w:rsidRPr="00656794">
        <w:rPr>
          <w:rFonts w:ascii="Arial" w:hAnsi="Arial" w:cs="Arial"/>
          <w:color w:val="000000"/>
          <w:sz w:val="20"/>
          <w:szCs w:val="20"/>
          <w:lang w:val="it-IT"/>
        </w:rPr>
        <w:t>Identificazione dei principali rischi aziendali e dei relativi documenti sul sistema di controllo interno e sul sistema di governo societario.</w:t>
      </w:r>
    </w:p>
    <w:p w14:paraId="0A92E08E" w14:textId="0FF77CA9"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Alta Direzione è responsabile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attuazione delle decisioni e delle strategie definite dal Consiglio e del mantenimento e monitoraggio del sistema dei controlli interni e di gestione dei rischi. È composto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Amministratore Delegato e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Alta Direzione della Società.</w:t>
      </w:r>
    </w:p>
    <w:p w14:paraId="3FBD54EB" w14:textId="3F2167E4"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Il Comitato Controllo e Rischi comprende CEO, CFO, CRO, General Counsel, Compliance Officer, Head of </w:t>
      </w:r>
      <w:r w:rsidR="00D821AB" w:rsidRPr="00656794">
        <w:rPr>
          <w:rFonts w:ascii="Arial" w:hAnsi="Arial" w:cs="Arial"/>
          <w:color w:val="000000"/>
          <w:sz w:val="20"/>
          <w:szCs w:val="20"/>
          <w:lang w:val="it-IT"/>
        </w:rPr>
        <w:t>Audit interno</w:t>
      </w:r>
      <w:r w:rsidRPr="00656794">
        <w:rPr>
          <w:rFonts w:ascii="Arial" w:hAnsi="Arial" w:cs="Arial"/>
          <w:color w:val="000000"/>
          <w:sz w:val="20"/>
          <w:szCs w:val="20"/>
          <w:lang w:val="it-IT"/>
        </w:rPr>
        <w:t xml:space="preserve"> e COO. È responsabile della valutazione e della discussione della gestione del rischio e dei problemi di conformità per garantire la corretta gestione, monitoraggio, mitigazione e controlli. È inoltre responsabile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attuazione e del monitoraggio del quadro di governance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outsourcing.</w:t>
      </w:r>
    </w:p>
    <w:p w14:paraId="20E0AA84" w14:textId="66B4D85B" w:rsidR="00730B26" w:rsidRPr="00656794" w:rsidRDefault="0076313D" w:rsidP="0076313D">
      <w:pPr>
        <w:pStyle w:val="NormalWeb"/>
        <w:ind w:right="102"/>
        <w:jc w:val="both"/>
        <w:rPr>
          <w:rFonts w:ascii="Arial" w:hAnsi="Arial" w:cs="Arial"/>
          <w:color w:val="000000"/>
          <w:sz w:val="20"/>
          <w:szCs w:val="20"/>
          <w:lang w:val="it-IT"/>
        </w:rPr>
      </w:pPr>
      <w:r w:rsidRPr="00CB4C9C">
        <w:rPr>
          <w:rFonts w:ascii="Arial" w:hAnsi="Arial" w:cs="Arial"/>
          <w:color w:val="000000"/>
          <w:sz w:val="20"/>
          <w:szCs w:val="20"/>
        </w:rPr>
        <w:t>■ L</w:t>
      </w:r>
      <w:r w:rsidR="00F23A40" w:rsidRPr="00CB4C9C">
        <w:rPr>
          <w:rFonts w:ascii="Arial" w:hAnsi="Arial" w:cs="Arial"/>
          <w:color w:val="000000"/>
          <w:sz w:val="20"/>
          <w:szCs w:val="20"/>
        </w:rPr>
        <w:t>’</w:t>
      </w:r>
      <w:r w:rsidRPr="00CB4C9C">
        <w:rPr>
          <w:rFonts w:ascii="Arial" w:hAnsi="Arial" w:cs="Arial"/>
          <w:color w:val="000000"/>
          <w:sz w:val="20"/>
          <w:szCs w:val="20"/>
        </w:rPr>
        <w:t xml:space="preserve">Asset Liability Management &amp; Investments Committee </w:t>
      </w:r>
      <w:r w:rsidR="007E1860" w:rsidRPr="00CB4C9C">
        <w:rPr>
          <w:rFonts w:ascii="Arial" w:hAnsi="Arial" w:cs="Arial"/>
          <w:color w:val="000000"/>
          <w:sz w:val="20"/>
          <w:szCs w:val="20"/>
        </w:rPr>
        <w:t>comprendono</w:t>
      </w:r>
      <w:r w:rsidRPr="00CB4C9C">
        <w:rPr>
          <w:rFonts w:ascii="Arial" w:hAnsi="Arial" w:cs="Arial"/>
          <w:color w:val="000000"/>
          <w:sz w:val="20"/>
          <w:szCs w:val="20"/>
        </w:rPr>
        <w:t xml:space="preserve"> CEO, Country CEO, CFO, CIO, Regional Investment Manager, Chief Life Actuary e CRO. </w:t>
      </w: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obiettivo è gestire gli investimenti finanziari della società tenendo conto del profilo delle passività della società, in linea con la Politica di </w:t>
      </w:r>
      <w:r w:rsidRPr="00656794">
        <w:rPr>
          <w:rFonts w:ascii="Arial" w:hAnsi="Arial" w:cs="Arial"/>
          <w:color w:val="000000"/>
          <w:sz w:val="20"/>
          <w:szCs w:val="20"/>
          <w:lang w:val="it-IT"/>
        </w:rPr>
        <w:lastRenderedPageBreak/>
        <w:t xml:space="preserve">investimento. Ciò include la responsabilità per la Strategic Asset Allocation, corrispondenza delle passività e analisi di sensitività e raccomandazione di strategie di investimento appropriate. </w:t>
      </w:r>
    </w:p>
    <w:p w14:paraId="1C1DF168" w14:textId="660F1FE4"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La Funzione Attuariale, guidata dal Responsabile della Funzione Attuariale, è responsabile dello svolgimento dei compiti specificati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Articolo 48 della Direttiva Solvency II. In sintesi, le principali responsabilità della funzione attuariale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ambito di Solvency II consistono nel coordinare il calcolo delle riserve tecniche, fornire pareri sulle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xml:space="preserve"> assuntive e riassicurative e assistere la funzione di gestione del rischio in determinati compiti. La Funzione Attuariale ha anche compiti statutari inclusa la predisposizione delle Riserve statutarie in linea con le norme statutarie italiane.</w:t>
      </w:r>
    </w:p>
    <w:p w14:paraId="43C2D249" w14:textId="2C610740"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La funzione di compliance, guidata dal Responsabile della Compliance, è responsabile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identificazione, valutazione, monitoraggio e rendicontazione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al rischio di compliance, focalizzandosi sul rispetto delle leggi applicabili e dei requisiti normativi; e</w:t>
      </w:r>
    </w:p>
    <w:p w14:paraId="5122FB48" w14:textId="6D476C88"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La funzione di audit interno, guidata dal responsabile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audit interno, è responsabile dello sviluppo e della consegna di un </w:t>
      </w:r>
      <w:r w:rsidR="005720DF">
        <w:rPr>
          <w:rFonts w:ascii="Arial" w:hAnsi="Arial" w:cs="Arial"/>
          <w:color w:val="000000"/>
          <w:sz w:val="20"/>
          <w:szCs w:val="20"/>
          <w:lang w:val="it-IT"/>
        </w:rPr>
        <w:t>piano</w:t>
      </w:r>
      <w:r w:rsidRPr="00656794">
        <w:rPr>
          <w:rFonts w:ascii="Arial" w:hAnsi="Arial" w:cs="Arial"/>
          <w:color w:val="000000"/>
          <w:sz w:val="20"/>
          <w:szCs w:val="20"/>
          <w:lang w:val="it-IT"/>
        </w:rPr>
        <w:t xml:space="preserve"> di audit basato sul rischio, approvato dal consiglio di amministrazione, e di valutare e contribuire al miglioramento della governance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organizzazione, della gestione del rischio e processi di controllo.</w:t>
      </w:r>
    </w:p>
    <w:p w14:paraId="1F2B7B14" w14:textId="696BD46C" w:rsidR="0076313D" w:rsidRPr="00656794" w:rsidRDefault="0076313D" w:rsidP="000F279B">
      <w:pPr>
        <w:spacing w:before="142"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3.3.3 </w:t>
      </w:r>
      <w:r w:rsidR="0020545F" w:rsidRPr="00656794">
        <w:rPr>
          <w:rFonts w:ascii="Arial" w:eastAsia="Times New Roman" w:hAnsi="Arial" w:cs="Arial"/>
          <w:color w:val="00338D"/>
          <w:sz w:val="24"/>
          <w:szCs w:val="24"/>
          <w:lang w:val="it-IT" w:eastAsia="en-IE"/>
        </w:rPr>
        <w:t>Propensione al rischio</w:t>
      </w:r>
      <w:r w:rsidRPr="00656794">
        <w:rPr>
          <w:rFonts w:ascii="Arial" w:eastAsia="Times New Roman" w:hAnsi="Arial" w:cs="Arial"/>
          <w:color w:val="00338D"/>
          <w:sz w:val="24"/>
          <w:szCs w:val="24"/>
          <w:lang w:val="it-IT" w:eastAsia="en-IE"/>
        </w:rPr>
        <w:t> </w:t>
      </w:r>
    </w:p>
    <w:p w14:paraId="621D64A9" w14:textId="0E53ADCB" w:rsidR="0076313D" w:rsidRPr="00656794" w:rsidRDefault="00870E24" w:rsidP="0020545F">
      <w:pPr>
        <w:spacing w:before="139"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B0F0"/>
          <w:sz w:val="20"/>
          <w:szCs w:val="20"/>
          <w:lang w:val="it-IT" w:eastAsia="en-IE"/>
        </w:rPr>
        <w:t>Panoramica</w:t>
      </w:r>
    </w:p>
    <w:p w14:paraId="03B5686D" w14:textId="07F411FE"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Il Consiglio di amministrazione è responsabile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approvazione della propensione al rischio globale di ZIL, compresa la definizione dei livelli di tolleranza al rischio, da rivedere almeno una volta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anno, e dei limiti operativi, nonché i relativi piani di emergenza per le esposizioni avverse al rischio. Il Comitato Rischi del Consiglio supporta il Consiglio nella sua revisione del </w:t>
      </w:r>
      <w:r w:rsidR="005E55EE" w:rsidRPr="00656794">
        <w:rPr>
          <w:rFonts w:ascii="Arial" w:hAnsi="Arial" w:cs="Arial"/>
          <w:color w:val="000000"/>
          <w:sz w:val="20"/>
          <w:szCs w:val="20"/>
          <w:lang w:val="it-IT"/>
        </w:rPr>
        <w:t>Quadro della propensione al rischio</w:t>
      </w:r>
      <w:r w:rsidRPr="00656794">
        <w:rPr>
          <w:rFonts w:ascii="Arial" w:hAnsi="Arial" w:cs="Arial"/>
          <w:color w:val="000000"/>
          <w:sz w:val="20"/>
          <w:szCs w:val="20"/>
          <w:lang w:val="it-IT"/>
        </w:rPr>
        <w:t>.</w:t>
      </w:r>
    </w:p>
    <w:p w14:paraId="6173DBF0" w14:textId="4B5097D3" w:rsidR="0076313D" w:rsidRPr="00656794" w:rsidRDefault="0076313D" w:rsidP="0020545F">
      <w:pPr>
        <w:spacing w:before="139" w:after="0" w:line="240" w:lineRule="auto"/>
        <w:rPr>
          <w:rFonts w:ascii="Arial" w:eastAsia="Times New Roman" w:hAnsi="Arial" w:cs="Arial"/>
          <w:color w:val="00B0F0"/>
          <w:sz w:val="20"/>
          <w:szCs w:val="20"/>
          <w:lang w:val="it-IT" w:eastAsia="en-IE"/>
        </w:rPr>
      </w:pPr>
      <w:r w:rsidRPr="00656794">
        <w:rPr>
          <w:rFonts w:ascii="Arial" w:eastAsia="Times New Roman" w:hAnsi="Arial" w:cs="Arial"/>
          <w:color w:val="00B0F0"/>
          <w:sz w:val="20"/>
          <w:szCs w:val="20"/>
          <w:lang w:val="it-IT" w:eastAsia="en-IE"/>
        </w:rPr>
        <w:t>L</w:t>
      </w:r>
      <w:r w:rsidR="00F23A40" w:rsidRPr="00656794">
        <w:rPr>
          <w:rFonts w:ascii="Arial" w:eastAsia="Times New Roman" w:hAnsi="Arial" w:cs="Arial"/>
          <w:color w:val="00B0F0"/>
          <w:sz w:val="20"/>
          <w:szCs w:val="20"/>
          <w:lang w:val="it-IT" w:eastAsia="en-IE"/>
        </w:rPr>
        <w:t>’</w:t>
      </w:r>
      <w:r w:rsidRPr="00656794">
        <w:rPr>
          <w:rFonts w:ascii="Arial" w:eastAsia="Times New Roman" w:hAnsi="Arial" w:cs="Arial"/>
          <w:color w:val="00B0F0"/>
          <w:sz w:val="20"/>
          <w:szCs w:val="20"/>
          <w:lang w:val="it-IT" w:eastAsia="en-IE"/>
        </w:rPr>
        <w:t>approccio</w:t>
      </w:r>
    </w:p>
    <w:p w14:paraId="34C964D3" w14:textId="25DCEEDA"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Il </w:t>
      </w:r>
      <w:r w:rsidR="005E55EE" w:rsidRPr="00656794">
        <w:rPr>
          <w:rFonts w:ascii="Arial" w:hAnsi="Arial" w:cs="Arial"/>
          <w:color w:val="000000"/>
          <w:sz w:val="20"/>
          <w:szCs w:val="20"/>
          <w:lang w:val="it-IT"/>
        </w:rPr>
        <w:t>quadro</w:t>
      </w:r>
      <w:r w:rsidRPr="00656794">
        <w:rPr>
          <w:rFonts w:ascii="Arial" w:hAnsi="Arial" w:cs="Arial"/>
          <w:color w:val="000000"/>
          <w:sz w:val="20"/>
          <w:szCs w:val="20"/>
          <w:lang w:val="it-IT"/>
        </w:rPr>
        <w:t xml:space="preserve"> della propensione al rischio è composto da quattro elementi chiave:</w:t>
      </w:r>
    </w:p>
    <w:p w14:paraId="770A4A52" w14:textId="77777777" w:rsidR="0020545F"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una dichiarazione quantitativa che definisca un livello di solvibilità target e soglie di tolleranza; </w:t>
      </w:r>
    </w:p>
    <w:p w14:paraId="2D2DB5F0" w14:textId="5F9B93F5"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B60A72" w:rsidRPr="00656794">
        <w:rPr>
          <w:rFonts w:ascii="Arial" w:hAnsi="Arial" w:cs="Arial"/>
          <w:color w:val="000000"/>
          <w:sz w:val="20"/>
          <w:szCs w:val="20"/>
          <w:lang w:val="it-IT"/>
        </w:rPr>
        <w:t>d</w:t>
      </w:r>
      <w:r w:rsidRPr="00656794">
        <w:rPr>
          <w:rFonts w:ascii="Arial" w:hAnsi="Arial" w:cs="Arial"/>
          <w:color w:val="000000"/>
          <w:sz w:val="20"/>
          <w:szCs w:val="20"/>
          <w:lang w:val="it-IT"/>
        </w:rPr>
        <w:t>ichiarazioni qualitative che definiscono le preferenze in relazione ai rischi 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azienda ricerca ei rischi che devono essere evitati per raggiungere i suoi obiettivi finanziari;</w:t>
      </w:r>
    </w:p>
    <w:p w14:paraId="75F20EDA" w14:textId="77995EDF" w:rsidR="0020545F"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B60A72" w:rsidRPr="00656794">
        <w:rPr>
          <w:rFonts w:ascii="Arial" w:hAnsi="Arial" w:cs="Arial"/>
          <w:color w:val="000000"/>
          <w:sz w:val="20"/>
          <w:szCs w:val="20"/>
          <w:lang w:val="it-IT"/>
        </w:rPr>
        <w:t>l</w:t>
      </w:r>
      <w:r w:rsidRPr="00656794">
        <w:rPr>
          <w:rFonts w:ascii="Arial" w:hAnsi="Arial" w:cs="Arial"/>
          <w:color w:val="000000"/>
          <w:sz w:val="20"/>
          <w:szCs w:val="20"/>
          <w:lang w:val="it-IT"/>
        </w:rPr>
        <w:t xml:space="preserve">imiti operativi fissati dal modulo di rischio per garantire che la gestione monitori le tendenze per tipologia di rischio; e </w:t>
      </w:r>
    </w:p>
    <w:p w14:paraId="4DA9965F" w14:textId="2320573E"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B60A72" w:rsidRPr="00656794">
        <w:rPr>
          <w:rFonts w:ascii="Arial" w:hAnsi="Arial" w:cs="Arial"/>
          <w:color w:val="000000"/>
          <w:sz w:val="20"/>
          <w:szCs w:val="20"/>
          <w:lang w:val="it-IT"/>
        </w:rPr>
        <w:t>m</w:t>
      </w:r>
      <w:r w:rsidRPr="00656794">
        <w:rPr>
          <w:rFonts w:ascii="Arial" w:hAnsi="Arial" w:cs="Arial"/>
          <w:color w:val="000000"/>
          <w:sz w:val="20"/>
          <w:szCs w:val="20"/>
          <w:lang w:val="it-IT"/>
        </w:rPr>
        <w:t>onitoraggio del quadro generale, che viene eseguito su base periodica o dopo specifici trigger.</w:t>
      </w:r>
    </w:p>
    <w:p w14:paraId="7DFAA0B6" w14:textId="1E03F068"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Inoltre, ZIL effettua annualmente un processo di Total Risk Profiling (TRP), una mappatura quali-quantitativa, che è la metodologia del Gruppo Zurich finalizzata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identificazione e alla prioritizzazione dei rischi insiti nel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strategico e nel modello operativo della Compagnia. Il processo assegna azioni correttive per la riduzione dei rischi individuati.</w:t>
      </w:r>
    </w:p>
    <w:p w14:paraId="12F45D08" w14:textId="019D937F"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Inoltre, ZIL esegue regolarmente test</w:t>
      </w:r>
      <w:r w:rsidR="00C27811">
        <w:rPr>
          <w:rFonts w:ascii="Arial" w:hAnsi="Arial" w:cs="Arial"/>
          <w:color w:val="000000"/>
          <w:sz w:val="20"/>
          <w:szCs w:val="20"/>
          <w:lang w:val="it-IT"/>
        </w:rPr>
        <w:t xml:space="preserve"> di stress</w:t>
      </w:r>
      <w:r w:rsidRPr="00656794">
        <w:rPr>
          <w:rFonts w:ascii="Arial" w:hAnsi="Arial" w:cs="Arial"/>
          <w:color w:val="000000"/>
          <w:sz w:val="20"/>
          <w:szCs w:val="20"/>
          <w:lang w:val="it-IT"/>
        </w:rPr>
        <w:t xml:space="preserve"> sulle principali esposizioni al rischio di mercato e di responsabilità per misurare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sul coefficiente di copertura del capitale di solvibilità.</w:t>
      </w:r>
    </w:p>
    <w:p w14:paraId="43A1B993" w14:textId="5163801F"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Nel complesso,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di ZIL è incorporato un approccio completo alla valutazione, al monitoraggio e alla gestione della propensione al rischio.</w:t>
      </w:r>
    </w:p>
    <w:p w14:paraId="2E5902B0" w14:textId="71E65BA1" w:rsidR="0076313D" w:rsidRPr="00656794" w:rsidRDefault="00CE466E" w:rsidP="0020545F">
      <w:pPr>
        <w:spacing w:before="139" w:after="0" w:line="240" w:lineRule="auto"/>
        <w:rPr>
          <w:rFonts w:ascii="Arial" w:eastAsia="Times New Roman" w:hAnsi="Arial" w:cs="Arial"/>
          <w:color w:val="00B0F0"/>
          <w:sz w:val="20"/>
          <w:szCs w:val="20"/>
          <w:lang w:val="it-IT" w:eastAsia="en-IE"/>
        </w:rPr>
      </w:pPr>
      <w:r>
        <w:rPr>
          <w:rFonts w:ascii="Arial" w:eastAsia="Times New Roman" w:hAnsi="Arial" w:cs="Arial"/>
          <w:color w:val="00B0F0"/>
          <w:sz w:val="20"/>
          <w:szCs w:val="20"/>
          <w:lang w:val="it-IT" w:eastAsia="en-IE"/>
        </w:rPr>
        <w:t xml:space="preserve">Piano </w:t>
      </w:r>
      <w:r w:rsidR="0076313D" w:rsidRPr="00656794">
        <w:rPr>
          <w:rFonts w:ascii="Arial" w:eastAsia="Times New Roman" w:hAnsi="Arial" w:cs="Arial"/>
          <w:color w:val="00B0F0"/>
          <w:sz w:val="20"/>
          <w:szCs w:val="20"/>
          <w:lang w:val="it-IT" w:eastAsia="en-IE"/>
        </w:rPr>
        <w:t>di recupero</w:t>
      </w:r>
    </w:p>
    <w:p w14:paraId="61F86024" w14:textId="68ED7732"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In caso di violazione delle soglie di tolleranza della dichiarazione quantitativa, ZIL dispone di una politica di gestione del capitale per agire per adeguare il coefficiente di copertura del capitale di solvibilità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obiettivo strategico.</w:t>
      </w:r>
    </w:p>
    <w:p w14:paraId="0984E14D" w14:textId="15BC94E7" w:rsidR="0076313D" w:rsidRPr="00656794" w:rsidRDefault="0076313D" w:rsidP="000F279B">
      <w:pPr>
        <w:spacing w:before="144"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3.3.4 </w:t>
      </w:r>
      <w:r w:rsidR="0057339E" w:rsidRPr="00656794">
        <w:rPr>
          <w:rFonts w:ascii="Arial" w:eastAsia="Times New Roman" w:hAnsi="Arial" w:cs="Arial"/>
          <w:color w:val="00338D"/>
          <w:sz w:val="24"/>
          <w:szCs w:val="24"/>
          <w:lang w:val="it-IT" w:eastAsia="en-IE"/>
        </w:rPr>
        <w:t>Sensibilità al rischio</w:t>
      </w:r>
    </w:p>
    <w:p w14:paraId="7B759D69" w14:textId="72938C12"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Mi è stata fornita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analisi di sensitività che illustra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di ZIL ai rischi chiave considerando gli impatti che questi hanno sulla posizione di solvibilità di ZIL al 31 dicembre 2020 (e anni successivi) attraverso il processo ORSA. Non ho riprodotto il dettaglio. I principali rischi presentati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 sono in linea con quelli delineati nella precedente Sezione 3.3.1 e sono discussi più dettagliatamente nella Sezione 3.7.</w:t>
      </w:r>
    </w:p>
    <w:p w14:paraId="207FF0D7" w14:textId="41183C68" w:rsidR="0076313D" w:rsidRPr="00656794" w:rsidRDefault="0076313D" w:rsidP="000F279B">
      <w:pPr>
        <w:spacing w:before="282"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3.3.5 </w:t>
      </w:r>
      <w:r w:rsidR="0057339E" w:rsidRPr="00656794">
        <w:rPr>
          <w:rFonts w:ascii="Arial" w:eastAsia="Times New Roman" w:hAnsi="Arial" w:cs="Arial"/>
          <w:color w:val="00338D"/>
          <w:sz w:val="24"/>
          <w:szCs w:val="24"/>
          <w:lang w:val="it-IT" w:eastAsia="en-IE"/>
        </w:rPr>
        <w:t>Problemi di rischio</w:t>
      </w:r>
      <w:r w:rsidRPr="00656794">
        <w:rPr>
          <w:rFonts w:ascii="Arial" w:eastAsia="Times New Roman" w:hAnsi="Arial" w:cs="Arial"/>
          <w:color w:val="00338D"/>
          <w:sz w:val="24"/>
          <w:szCs w:val="24"/>
          <w:lang w:val="it-IT" w:eastAsia="en-IE"/>
        </w:rPr>
        <w:t> </w:t>
      </w:r>
    </w:p>
    <w:p w14:paraId="2A3156CE" w14:textId="182A7B35"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elenco corrente dei problemi di rischio aperti per ZIL è stato condiviso con me, inclusi i rischi evidenziati nel</w:t>
      </w:r>
      <w:r w:rsidR="004C108B">
        <w:rPr>
          <w:rFonts w:ascii="Arial" w:hAnsi="Arial" w:cs="Arial"/>
          <w:color w:val="000000"/>
          <w:sz w:val="20"/>
          <w:szCs w:val="20"/>
          <w:lang w:val="it-IT"/>
        </w:rPr>
        <w:t>la dashboard dei rischi</w:t>
      </w:r>
      <w:r w:rsidRPr="00656794">
        <w:rPr>
          <w:rFonts w:ascii="Arial" w:hAnsi="Arial" w:cs="Arial"/>
          <w:color w:val="000000"/>
          <w:sz w:val="20"/>
          <w:szCs w:val="20"/>
          <w:lang w:val="it-IT"/>
        </w:rPr>
        <w:t xml:space="preserve">, </w:t>
      </w:r>
      <w:r w:rsidR="005D4B3C" w:rsidRPr="00656794">
        <w:rPr>
          <w:rFonts w:ascii="Arial" w:hAnsi="Arial" w:cs="Arial"/>
          <w:color w:val="000000"/>
          <w:sz w:val="20"/>
          <w:szCs w:val="20"/>
          <w:lang w:val="it-IT"/>
        </w:rPr>
        <w:t>Propensione al Rischio</w:t>
      </w:r>
      <w:r w:rsidRPr="00656794">
        <w:rPr>
          <w:rFonts w:ascii="Arial" w:hAnsi="Arial" w:cs="Arial"/>
          <w:color w:val="000000"/>
          <w:sz w:val="20"/>
          <w:szCs w:val="20"/>
          <w:lang w:val="it-IT"/>
        </w:rPr>
        <w:t xml:space="preserve"> e ORSA,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ho considerato come parte della mia revisione. Noto 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elenco è completo e copre una vasta gamma di esposizioni al rischio e procedure di monitoraggio. Gli elementi sono in linea con ciò che vediamo altrove.</w:t>
      </w:r>
    </w:p>
    <w:p w14:paraId="3E1121C3" w14:textId="6E4B3DD7" w:rsidR="0076313D" w:rsidRPr="00656794" w:rsidRDefault="0076313D" w:rsidP="000F279B">
      <w:pPr>
        <w:spacing w:before="280"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3.4 </w:t>
      </w:r>
      <w:r w:rsidR="00642002" w:rsidRPr="00656794">
        <w:rPr>
          <w:rFonts w:ascii="Arial" w:eastAsia="Times New Roman" w:hAnsi="Arial" w:cs="Arial"/>
          <w:b/>
          <w:bCs/>
          <w:color w:val="00338D"/>
          <w:sz w:val="28"/>
          <w:szCs w:val="28"/>
          <w:lang w:val="it-IT" w:eastAsia="en-IE"/>
        </w:rPr>
        <w:t>Accordi operativi</w:t>
      </w:r>
      <w:r w:rsidRPr="00656794">
        <w:rPr>
          <w:rFonts w:ascii="Arial" w:eastAsia="Times New Roman" w:hAnsi="Arial" w:cs="Arial"/>
          <w:b/>
          <w:bCs/>
          <w:color w:val="00338D"/>
          <w:sz w:val="28"/>
          <w:szCs w:val="28"/>
          <w:lang w:val="it-IT" w:eastAsia="en-IE"/>
        </w:rPr>
        <w:t> </w:t>
      </w:r>
    </w:p>
    <w:p w14:paraId="288F9E4D" w14:textId="7FB67A3C"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ZIL ha una varietà di fornitori di servizi in outsourcing che forniscono servizi di supporto IT e Solvency II (accordi interaziendali o contratti di outsourcing), altri servizi di supporto IT (accordi interni ed esterni) e accordi relativi ai servizi come il supporto al dipartimento operativo o a</w:t>
      </w:r>
      <w:r w:rsidR="00956FE0">
        <w:rPr>
          <w:rFonts w:ascii="Arial" w:hAnsi="Arial" w:cs="Arial"/>
          <w:color w:val="000000"/>
          <w:sz w:val="20"/>
          <w:szCs w:val="20"/>
          <w:lang w:val="it-IT"/>
        </w:rPr>
        <w:t xml:space="preserve"> servizi di</w:t>
      </w:r>
      <w:r w:rsidRPr="00656794">
        <w:rPr>
          <w:rFonts w:ascii="Arial" w:hAnsi="Arial" w:cs="Arial"/>
          <w:color w:val="000000"/>
          <w:sz w:val="20"/>
          <w:szCs w:val="20"/>
          <w:lang w:val="it-IT"/>
        </w:rPr>
        <w:t xml:space="preserve"> call center. Non abbiamo incluso qui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elenco completo dei servizi in outsourcing, ma abbiamo discusso la governance degli accordi con ZIL e comprendiamo che vari proprietari di attività commerciali sono responsabili del monitoraggio e della supervisione di ciascun accordo.</w:t>
      </w:r>
    </w:p>
    <w:p w14:paraId="07F8BFD9" w14:textId="3D1F199F"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Prendo atto per completezza che ZIL distribuisce i suoi prodotti e serve i suoi clienti attraverso una varietà di canali di distribuzione</w:t>
      </w:r>
      <w:r w:rsidR="00642002"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tra cui agenti collegati, banche, consulenti finanziari e broker. Il Gruppo Zurich è attualmente impegnato in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operazione strategica finalizzata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acquisizione del ramo d</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azienda Financial Advisor di Deutsche Bank in Italia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acquisizione non è al momento efficace). Dal punto di vista operativo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iniziativa è in corso.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operazione strategica consentirà a Zurich di rafforzare la propria presenza nel mercato italiano delle assicurazioni sulla vita.</w:t>
      </w:r>
    </w:p>
    <w:p w14:paraId="1F9183E1" w14:textId="542F9561" w:rsidR="0076313D" w:rsidRPr="00656794" w:rsidRDefault="0076313D" w:rsidP="000F279B">
      <w:pPr>
        <w:spacing w:before="280"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3.5 R</w:t>
      </w:r>
      <w:r w:rsidR="00642002" w:rsidRPr="00656794">
        <w:rPr>
          <w:rFonts w:ascii="Arial" w:eastAsia="Times New Roman" w:hAnsi="Arial" w:cs="Arial"/>
          <w:b/>
          <w:bCs/>
          <w:color w:val="00338D"/>
          <w:sz w:val="28"/>
          <w:szCs w:val="28"/>
          <w:lang w:val="it-IT" w:eastAsia="en-IE"/>
        </w:rPr>
        <w:t>iassicurazione</w:t>
      </w:r>
    </w:p>
    <w:p w14:paraId="2C7D219C" w14:textId="309A98A0" w:rsidR="0076313D" w:rsidRPr="00656794" w:rsidRDefault="0076313D" w:rsidP="000F279B">
      <w:pPr>
        <w:spacing w:before="139"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3.5.1 </w:t>
      </w:r>
      <w:r w:rsidR="00642002" w:rsidRPr="00656794">
        <w:rPr>
          <w:rFonts w:ascii="Arial" w:eastAsia="Times New Roman" w:hAnsi="Arial" w:cs="Arial"/>
          <w:color w:val="00338D"/>
          <w:sz w:val="24"/>
          <w:szCs w:val="24"/>
          <w:lang w:val="it-IT" w:eastAsia="en-IE"/>
        </w:rPr>
        <w:t>Panoramica di riassicurazione</w:t>
      </w:r>
      <w:r w:rsidRPr="00656794">
        <w:rPr>
          <w:rFonts w:ascii="Arial" w:eastAsia="Times New Roman" w:hAnsi="Arial" w:cs="Arial"/>
          <w:color w:val="00338D"/>
          <w:sz w:val="24"/>
          <w:szCs w:val="24"/>
          <w:lang w:val="it-IT" w:eastAsia="en-IE"/>
        </w:rPr>
        <w:t> </w:t>
      </w:r>
    </w:p>
    <w:p w14:paraId="51D5BCBA" w14:textId="7FCB64BB"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ZIL ha accordi di riassicurazione in essere con una varietà di riassicuratori sia esterni che interni alla compagnia. Esiste una gamma di diversi tipi di accordi di riassicurazione in atto, inclusi accordi di quote individuali e di gruppo e accordi in eccedenza. ZIL utilizza la riassicurazione come mezzo chiave di gestione del rischio per ridurre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della Società a morte, morte accidentale, disabilità e rischio catastrofe.</w:t>
      </w:r>
    </w:p>
    <w:p w14:paraId="0FB615F9" w14:textId="2A5A4E5C"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Gli accordi di riassicurazione sono concordati in linea con la politica di riassicurazione della compagnia. Questa politica stabilisce i requisiti per identificare il livello ottimale di ritenzione del rischio, identificare il riassicuratore più appropriato e limitare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della compagnia ai rischi demografici. Il CFO è supportato in questa analisi da altre funzioni aziendali.</w:t>
      </w:r>
    </w:p>
    <w:p w14:paraId="5775A23C" w14:textId="77777777"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Gli accordi di riassicurazione più significativi riguardano attività di protezione individuale e di gruppo in cui la società è esposta a sinistri di grandi dimensioni e quindi cede questo rischio ai riassicuratori.</w:t>
      </w:r>
    </w:p>
    <w:p w14:paraId="5AA92061" w14:textId="2A6EFA82"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Ai sensi della normativa Solvency II, la funzione attuariale è responsabile di fornire un parere sull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adeguatezza degli accordi di riassicurazione, non sono stati rilevati problemi con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adeguatezza degli accordi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del parere YE20.</w:t>
      </w:r>
    </w:p>
    <w:p w14:paraId="50728A40" w14:textId="57C5E568" w:rsidR="0076313D" w:rsidRPr="00656794" w:rsidRDefault="0076313D" w:rsidP="000F279B">
      <w:pPr>
        <w:spacing w:before="282"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lastRenderedPageBreak/>
        <w:t xml:space="preserve">3.5.2 </w:t>
      </w:r>
      <w:r w:rsidR="00BB3EFF" w:rsidRPr="00656794">
        <w:rPr>
          <w:rFonts w:ascii="Arial" w:eastAsia="Times New Roman" w:hAnsi="Arial" w:cs="Arial"/>
          <w:color w:val="00338D"/>
          <w:sz w:val="24"/>
          <w:szCs w:val="24"/>
          <w:lang w:val="it-IT" w:eastAsia="en-IE"/>
        </w:rPr>
        <w:t>Rating dei riassicuratori</w:t>
      </w:r>
    </w:p>
    <w:p w14:paraId="6E3C8D48" w14:textId="62B0A26D"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al rischio di insolvenza delle controparti riassicurative è monitorata da ZIL su base regolare ed è considerata parte del calcolo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Solvency II ogni anno. La maggior parte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dei riassicuratori è verso controparti con rating creditizi compresi tra AA- e BBB+. ZIL ha inoltre in essere una significativa retrocessione interna con altre entità del Gruppo. ZIL monitora attivamente</w:t>
      </w:r>
      <w:r w:rsidR="00A503DC"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la redditività dei principali accordi di riassicurazione nel periodo, eseguendo approfondimenti ove necessario per comprendere e grandi sinistri o esperienze avverse emergenti.</w:t>
      </w:r>
    </w:p>
    <w:p w14:paraId="1F88F97E" w14:textId="4209BCA9" w:rsidR="0076313D" w:rsidRPr="00656794" w:rsidRDefault="0076313D" w:rsidP="000F279B">
      <w:pPr>
        <w:spacing w:before="278"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3.6 </w:t>
      </w:r>
      <w:r w:rsidR="00BB3EFF" w:rsidRPr="00656794">
        <w:rPr>
          <w:rFonts w:ascii="Arial" w:eastAsia="Times New Roman" w:hAnsi="Arial" w:cs="Arial"/>
          <w:b/>
          <w:bCs/>
          <w:color w:val="00338D"/>
          <w:sz w:val="28"/>
          <w:szCs w:val="28"/>
          <w:lang w:val="it-IT" w:eastAsia="en-IE"/>
        </w:rPr>
        <w:t>Profilo finanziario</w:t>
      </w:r>
      <w:r w:rsidRPr="00656794">
        <w:rPr>
          <w:rFonts w:ascii="Arial" w:eastAsia="Times New Roman" w:hAnsi="Arial" w:cs="Arial"/>
          <w:b/>
          <w:bCs/>
          <w:color w:val="00338D"/>
          <w:sz w:val="28"/>
          <w:szCs w:val="28"/>
          <w:lang w:val="it-IT" w:eastAsia="en-IE"/>
        </w:rPr>
        <w:t> </w:t>
      </w:r>
    </w:p>
    <w:p w14:paraId="64D82572" w14:textId="1C9FDD17" w:rsidR="0076313D" w:rsidRPr="00656794" w:rsidRDefault="0076313D" w:rsidP="000F279B">
      <w:pPr>
        <w:spacing w:before="139"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3.6.1 </w:t>
      </w:r>
      <w:r w:rsidR="007C1129" w:rsidRPr="00656794">
        <w:rPr>
          <w:rFonts w:ascii="Arial" w:eastAsia="Times New Roman" w:hAnsi="Arial" w:cs="Arial"/>
          <w:color w:val="00338D"/>
          <w:sz w:val="24"/>
          <w:szCs w:val="24"/>
          <w:lang w:val="it-IT" w:eastAsia="en-IE"/>
        </w:rPr>
        <w:t>Contesto</w:t>
      </w:r>
    </w:p>
    <w:p w14:paraId="2EE5CFE5" w14:textId="21291035"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Il regime di segnalazione regolamentare Solvency II è entrato in vigore in tutta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UE dal 1° gennaio 2016. Poiché Solvency II è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iniziativa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UE, che stabilisce regole prescritte sul calcolo delle riserve tecniche e dei requisiti patrimoniali per le imprese di (ri)assicurazione, si applica in Irlanda e in tutta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UE in modo armonizzato. Pertanto</w:t>
      </w:r>
      <w:r w:rsidR="00BB3EFF"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non vi è alcuna differenza tra il regime di segnalazione regolamentare sottostante per qualsiasi attività assicurativa venduta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UE.</w:t>
      </w:r>
    </w:p>
    <w:p w14:paraId="0F3C61B2" w14:textId="01EBFB86" w:rsidR="0076313D" w:rsidRPr="00656794" w:rsidRDefault="0076313D" w:rsidP="007631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Sotto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attuazione IVASS di Solvency II, c</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è un ruolo prescritto noto come HOAF che è svolto da Silvia Rum in ZIL. Una panoramica del regime Solvency II è fornita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Appendice 5.</w:t>
      </w:r>
    </w:p>
    <w:p w14:paraId="5EC15D55" w14:textId="0F39CECF" w:rsidR="0076313D" w:rsidRPr="00656794" w:rsidRDefault="0076313D" w:rsidP="000F279B">
      <w:pPr>
        <w:spacing w:before="142"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3.6.2 </w:t>
      </w:r>
      <w:r w:rsidR="00935B1B" w:rsidRPr="00656794">
        <w:rPr>
          <w:rFonts w:ascii="Arial" w:eastAsia="Times New Roman" w:hAnsi="Arial" w:cs="Arial"/>
          <w:color w:val="00338D"/>
          <w:sz w:val="24"/>
          <w:szCs w:val="24"/>
          <w:lang w:val="it-IT" w:eastAsia="en-IE"/>
        </w:rPr>
        <w:t>Riserve tecniche</w:t>
      </w:r>
    </w:p>
    <w:p w14:paraId="65E19901" w14:textId="3685AE86" w:rsidR="0076313D" w:rsidRPr="00656794" w:rsidRDefault="0076313D" w:rsidP="00451D23">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tabella 3.4 che segue riassume le riserve tecniche Solvency II di ZIL al 31 dicembre 2020 e al 30 giugno 2021.</w:t>
      </w:r>
    </w:p>
    <w:tbl>
      <w:tblPr>
        <w:tblW w:w="9062" w:type="dxa"/>
        <w:tblCellMar>
          <w:top w:w="15" w:type="dxa"/>
          <w:left w:w="15" w:type="dxa"/>
          <w:bottom w:w="15" w:type="dxa"/>
          <w:right w:w="15" w:type="dxa"/>
        </w:tblCellMar>
        <w:tblLook w:val="04A0" w:firstRow="1" w:lastRow="0" w:firstColumn="1" w:lastColumn="0" w:noHBand="0" w:noVBand="1"/>
      </w:tblPr>
      <w:tblGrid>
        <w:gridCol w:w="3818"/>
        <w:gridCol w:w="1842"/>
        <w:gridCol w:w="3402"/>
      </w:tblGrid>
      <w:tr w:rsidR="000F279B" w:rsidRPr="00B84464" w14:paraId="6A4D914D" w14:textId="77777777" w:rsidTr="00451D23">
        <w:trPr>
          <w:trHeight w:val="285"/>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tcPr>
          <w:p w14:paraId="6D2CC9FB" w14:textId="3A2D1F2D" w:rsidR="000F279B" w:rsidRPr="00656794" w:rsidRDefault="000F279B" w:rsidP="000F279B">
            <w:pPr>
              <w:spacing w:before="98" w:after="0" w:line="240" w:lineRule="auto"/>
              <w:ind w:right="1004"/>
              <w:rPr>
                <w:rFonts w:ascii="Arial" w:eastAsia="Times New Roman" w:hAnsi="Arial" w:cs="Arial"/>
                <w:color w:val="FFFFFF" w:themeColor="background1"/>
                <w:sz w:val="20"/>
                <w:szCs w:val="20"/>
                <w:lang w:val="it-IT" w:eastAsia="en-IE"/>
              </w:rPr>
            </w:pPr>
            <w:r w:rsidRPr="00656794">
              <w:rPr>
                <w:rFonts w:ascii="Arial" w:eastAsia="Times New Roman" w:hAnsi="Arial" w:cs="Arial"/>
                <w:color w:val="FFFFFF" w:themeColor="background1"/>
                <w:sz w:val="20"/>
                <w:szCs w:val="20"/>
                <w:lang w:val="it-IT" w:eastAsia="en-IE"/>
              </w:rPr>
              <w:t>Tabella 3.4: Riserve tecniche ZIL - €m</w:t>
            </w:r>
          </w:p>
        </w:tc>
      </w:tr>
      <w:tr w:rsidR="000F279B" w:rsidRPr="00656794" w14:paraId="38561A6B" w14:textId="77777777" w:rsidTr="00A503DC">
        <w:trPr>
          <w:trHeight w:val="139"/>
        </w:trPr>
        <w:tc>
          <w:tcPr>
            <w:tcW w:w="381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07F836AC" w14:textId="1CE940B0" w:rsidR="000F279B" w:rsidRPr="00656794" w:rsidRDefault="000F279B" w:rsidP="00451D23">
            <w:pPr>
              <w:spacing w:after="0" w:line="240" w:lineRule="auto"/>
              <w:ind w:left="132"/>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Componente</w:t>
            </w:r>
          </w:p>
        </w:tc>
        <w:tc>
          <w:tcPr>
            <w:tcW w:w="1842"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58561F3A" w14:textId="44B5DBC0" w:rsidR="000F279B" w:rsidRPr="00656794" w:rsidRDefault="000F279B" w:rsidP="00451D23">
            <w:pPr>
              <w:spacing w:after="0" w:line="240" w:lineRule="auto"/>
              <w:ind w:left="132"/>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31 dicembre 2020</w:t>
            </w:r>
          </w:p>
        </w:tc>
        <w:tc>
          <w:tcPr>
            <w:tcW w:w="3402"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7AF8DD7E" w14:textId="4B48DEFB" w:rsidR="000F279B" w:rsidRPr="00656794" w:rsidRDefault="000F279B" w:rsidP="00110CD2">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30 giugno 2021</w:t>
            </w:r>
          </w:p>
        </w:tc>
      </w:tr>
    </w:tbl>
    <w:p w14:paraId="5CA82FA1" w14:textId="4185203F" w:rsidR="007935FC" w:rsidRPr="00656794" w:rsidRDefault="007935FC" w:rsidP="00451D23">
      <w:pPr>
        <w:spacing w:after="0" w:line="240" w:lineRule="auto"/>
        <w:rPr>
          <w:rFonts w:ascii="Arial" w:eastAsia="Times New Roman" w:hAnsi="Arial" w:cs="Arial"/>
          <w:b/>
          <w:bCs/>
          <w:color w:val="000000"/>
          <w:sz w:val="2"/>
          <w:szCs w:val="2"/>
          <w:lang w:val="it-IT" w:eastAsia="en-IE"/>
        </w:rPr>
      </w:pPr>
    </w:p>
    <w:tbl>
      <w:tblPr>
        <w:tblW w:w="0" w:type="auto"/>
        <w:tblCellMar>
          <w:top w:w="15" w:type="dxa"/>
          <w:left w:w="15" w:type="dxa"/>
          <w:bottom w:w="15" w:type="dxa"/>
          <w:right w:w="15" w:type="dxa"/>
        </w:tblCellMar>
        <w:tblLook w:val="04A0" w:firstRow="1" w:lastRow="0" w:firstColumn="1" w:lastColumn="0" w:noHBand="0" w:noVBand="1"/>
      </w:tblPr>
      <w:tblGrid>
        <w:gridCol w:w="3857"/>
        <w:gridCol w:w="1849"/>
        <w:gridCol w:w="3300"/>
      </w:tblGrid>
      <w:tr w:rsidR="007935FC" w:rsidRPr="00656794" w14:paraId="1F9175F8" w14:textId="77777777" w:rsidTr="00A503DC">
        <w:trPr>
          <w:trHeight w:val="312"/>
        </w:trPr>
        <w:tc>
          <w:tcPr>
            <w:tcW w:w="3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21411" w14:textId="77777777" w:rsidR="007935FC" w:rsidRPr="00656794" w:rsidRDefault="007935FC" w:rsidP="00635DA7">
            <w:pPr>
              <w:spacing w:after="0" w:line="240" w:lineRule="auto"/>
              <w:ind w:left="127"/>
              <w:rPr>
                <w:rFonts w:ascii="Arial" w:eastAsia="Times New Roman" w:hAnsi="Arial" w:cs="Arial"/>
                <w:b/>
                <w:bCs/>
                <w:color w:val="000000"/>
                <w:sz w:val="18"/>
                <w:szCs w:val="18"/>
                <w:shd w:val="clear" w:color="auto" w:fill="FFFFFF"/>
                <w:lang w:val="it-IT" w:eastAsia="en-IE"/>
              </w:rPr>
            </w:pPr>
            <w:r w:rsidRPr="00656794">
              <w:rPr>
                <w:rFonts w:ascii="Arial" w:eastAsia="Times New Roman" w:hAnsi="Arial" w:cs="Arial"/>
                <w:b/>
                <w:bCs/>
                <w:color w:val="000000"/>
                <w:sz w:val="18"/>
                <w:szCs w:val="18"/>
                <w:shd w:val="clear" w:color="auto" w:fill="FFFFFF"/>
                <w:lang w:val="it-IT" w:eastAsia="en-IE"/>
              </w:rPr>
              <w:t>Lordo Modellato BEL</w:t>
            </w:r>
          </w:p>
          <w:p w14:paraId="07C4FDA4" w14:textId="167C454A" w:rsidR="007935FC" w:rsidRPr="00656794" w:rsidRDefault="00A256E9" w:rsidP="00635DA7">
            <w:pPr>
              <w:spacing w:after="0" w:line="240" w:lineRule="auto"/>
              <w:ind w:left="127"/>
              <w:rPr>
                <w:rFonts w:ascii="Arial" w:eastAsia="Times New Roman" w:hAnsi="Arial" w:cs="Arial"/>
                <w:i/>
                <w:iCs/>
                <w:color w:val="000000"/>
                <w:sz w:val="18"/>
                <w:szCs w:val="18"/>
                <w:shd w:val="clear" w:color="auto" w:fill="FFFFFF"/>
                <w:lang w:val="it-IT" w:eastAsia="en-IE"/>
              </w:rPr>
            </w:pPr>
            <w:r>
              <w:rPr>
                <w:rFonts w:ascii="Arial" w:eastAsia="Times New Roman" w:hAnsi="Arial" w:cs="Arial"/>
                <w:i/>
                <w:iCs/>
                <w:color w:val="000000"/>
                <w:sz w:val="18"/>
                <w:szCs w:val="18"/>
                <w:shd w:val="clear" w:color="auto" w:fill="FFFFFF"/>
                <w:lang w:val="it-IT" w:eastAsia="en-IE"/>
              </w:rPr>
              <w:t xml:space="preserve">Assicurazione </w:t>
            </w:r>
            <w:r w:rsidR="007935FC" w:rsidRPr="00656794">
              <w:rPr>
                <w:rFonts w:ascii="Arial" w:eastAsia="Times New Roman" w:hAnsi="Arial" w:cs="Arial"/>
                <w:i/>
                <w:iCs/>
                <w:color w:val="000000"/>
                <w:sz w:val="18"/>
                <w:szCs w:val="18"/>
                <w:shd w:val="clear" w:color="auto" w:fill="FFFFFF"/>
                <w:lang w:val="it-IT" w:eastAsia="en-IE"/>
              </w:rPr>
              <w:t>Unit-linked</w:t>
            </w:r>
          </w:p>
          <w:p w14:paraId="3973E8F0" w14:textId="77777777" w:rsidR="007935FC" w:rsidRPr="00656794" w:rsidRDefault="007935FC" w:rsidP="00635DA7">
            <w:pPr>
              <w:spacing w:after="0" w:line="240" w:lineRule="auto"/>
              <w:ind w:left="127"/>
              <w:rPr>
                <w:rFonts w:ascii="Arial" w:eastAsia="Times New Roman" w:hAnsi="Arial" w:cs="Arial"/>
                <w:i/>
                <w:iCs/>
                <w:color w:val="000000"/>
                <w:sz w:val="18"/>
                <w:szCs w:val="18"/>
                <w:shd w:val="clear" w:color="auto" w:fill="FFFFFF"/>
                <w:lang w:val="it-IT" w:eastAsia="en-IE"/>
              </w:rPr>
            </w:pPr>
            <w:r w:rsidRPr="00656794">
              <w:rPr>
                <w:rFonts w:ascii="Arial" w:eastAsia="Times New Roman" w:hAnsi="Arial" w:cs="Arial"/>
                <w:i/>
                <w:iCs/>
                <w:color w:val="000000"/>
                <w:sz w:val="18"/>
                <w:szCs w:val="18"/>
                <w:shd w:val="clear" w:color="auto" w:fill="FFFFFF"/>
                <w:lang w:val="it-IT" w:eastAsia="en-IE"/>
              </w:rPr>
              <w:t>Con assicurazione sugli utili</w:t>
            </w:r>
          </w:p>
          <w:p w14:paraId="6B489200" w14:textId="77777777" w:rsidR="007935FC" w:rsidRPr="00656794" w:rsidRDefault="007935FC" w:rsidP="00635DA7">
            <w:pPr>
              <w:spacing w:after="0" w:line="240" w:lineRule="auto"/>
              <w:ind w:left="127"/>
              <w:rPr>
                <w:rFonts w:ascii="Arial" w:eastAsia="Times New Roman" w:hAnsi="Arial" w:cs="Arial"/>
                <w:i/>
                <w:iCs/>
                <w:color w:val="000000"/>
                <w:sz w:val="18"/>
                <w:szCs w:val="18"/>
                <w:shd w:val="clear" w:color="auto" w:fill="FFFFFF"/>
                <w:lang w:val="it-IT" w:eastAsia="en-IE"/>
              </w:rPr>
            </w:pPr>
            <w:r w:rsidRPr="00656794">
              <w:rPr>
                <w:rFonts w:ascii="Arial" w:eastAsia="Times New Roman" w:hAnsi="Arial" w:cs="Arial"/>
                <w:i/>
                <w:iCs/>
                <w:color w:val="000000"/>
                <w:sz w:val="18"/>
                <w:szCs w:val="18"/>
                <w:shd w:val="clear" w:color="auto" w:fill="FFFFFF"/>
                <w:lang w:val="it-IT" w:eastAsia="en-IE"/>
              </w:rPr>
              <w:t>Altre assicurazioni sulla vita</w:t>
            </w:r>
          </w:p>
          <w:p w14:paraId="639A23FB" w14:textId="5A15ED94" w:rsidR="007935FC" w:rsidRPr="00656794" w:rsidRDefault="007935FC" w:rsidP="00635DA7">
            <w:pPr>
              <w:spacing w:after="0" w:line="240" w:lineRule="auto"/>
              <w:ind w:left="127"/>
              <w:rPr>
                <w:rFonts w:ascii="Arial" w:eastAsia="Times New Roman" w:hAnsi="Arial" w:cs="Arial"/>
                <w:b/>
                <w:bCs/>
                <w:color w:val="FFFFFF"/>
                <w:sz w:val="18"/>
                <w:szCs w:val="18"/>
                <w:shd w:val="clear" w:color="auto" w:fill="00338D"/>
                <w:lang w:val="it-IT" w:eastAsia="en-IE"/>
              </w:rPr>
            </w:pPr>
            <w:r w:rsidRPr="00656794">
              <w:rPr>
                <w:rFonts w:ascii="Arial" w:eastAsia="Times New Roman" w:hAnsi="Arial" w:cs="Arial"/>
                <w:i/>
                <w:iCs/>
                <w:color w:val="000000"/>
                <w:sz w:val="18"/>
                <w:szCs w:val="18"/>
                <w:shd w:val="clear" w:color="auto" w:fill="FFFFFF"/>
                <w:lang w:val="it-IT" w:eastAsia="en-IE"/>
              </w:rPr>
              <w:t>Adeguamento lato superiore*</w:t>
            </w:r>
          </w:p>
        </w:tc>
        <w:tc>
          <w:tcPr>
            <w:tcW w:w="1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33E35" w14:textId="26009E19" w:rsidR="007935FC" w:rsidRPr="00656794" w:rsidRDefault="007935FC" w:rsidP="00635DA7">
            <w:pPr>
              <w:spacing w:after="0" w:line="240" w:lineRule="auto"/>
              <w:jc w:val="center"/>
              <w:rPr>
                <w:rFonts w:ascii="Arial" w:eastAsia="Times New Roman" w:hAnsi="Arial" w:cs="Arial"/>
                <w:b/>
                <w:bCs/>
                <w:i/>
                <w:iCs/>
                <w:color w:val="FFFFFF"/>
                <w:sz w:val="18"/>
                <w:szCs w:val="18"/>
                <w:shd w:val="clear" w:color="auto" w:fill="00338D"/>
                <w:lang w:val="it-IT" w:eastAsia="en-IE"/>
              </w:rPr>
            </w:pPr>
            <w:r w:rsidRPr="00656794">
              <w:rPr>
                <w:rFonts w:ascii="Arial" w:eastAsia="Times New Roman" w:hAnsi="Arial" w:cs="Arial"/>
                <w:i/>
                <w:iCs/>
                <w:color w:val="000000"/>
                <w:sz w:val="18"/>
                <w:szCs w:val="18"/>
                <w:shd w:val="clear" w:color="auto" w:fill="FFFFFF"/>
                <w:lang w:val="it-IT" w:eastAsia="en-IE"/>
              </w:rPr>
              <w:t>16.753,7</w:t>
            </w:r>
            <w:r w:rsidRPr="00656794">
              <w:rPr>
                <w:rFonts w:ascii="Arial" w:eastAsia="Times New Roman" w:hAnsi="Arial" w:cs="Arial"/>
                <w:i/>
                <w:iCs/>
                <w:color w:val="000000"/>
                <w:sz w:val="18"/>
                <w:szCs w:val="18"/>
                <w:shd w:val="clear" w:color="auto" w:fill="FFFFFF"/>
                <w:lang w:val="it-IT" w:eastAsia="en-IE"/>
              </w:rPr>
              <w:br/>
              <w:t>3.513,6</w:t>
            </w:r>
            <w:r w:rsidRPr="00656794">
              <w:rPr>
                <w:rFonts w:ascii="Arial" w:eastAsia="Times New Roman" w:hAnsi="Arial" w:cs="Arial"/>
                <w:i/>
                <w:iCs/>
                <w:color w:val="000000"/>
                <w:sz w:val="18"/>
                <w:szCs w:val="18"/>
                <w:shd w:val="clear" w:color="auto" w:fill="FFFFFF"/>
                <w:lang w:val="it-IT" w:eastAsia="en-IE"/>
              </w:rPr>
              <w:br/>
              <w:t>13.279,1</w:t>
            </w:r>
            <w:r w:rsidR="00451D23" w:rsidRPr="00656794">
              <w:rPr>
                <w:rFonts w:ascii="Arial" w:eastAsia="Times New Roman" w:hAnsi="Arial" w:cs="Arial"/>
                <w:i/>
                <w:iCs/>
                <w:color w:val="000000"/>
                <w:sz w:val="18"/>
                <w:szCs w:val="18"/>
                <w:shd w:val="clear" w:color="auto" w:fill="FFFFFF"/>
                <w:lang w:val="it-IT" w:eastAsia="en-IE"/>
              </w:rPr>
              <w:br/>
              <w:t>(39,0)</w:t>
            </w:r>
            <w:r w:rsidR="00451D23" w:rsidRPr="00656794">
              <w:rPr>
                <w:rFonts w:ascii="Arial" w:eastAsia="Times New Roman" w:hAnsi="Arial" w:cs="Arial"/>
                <w:i/>
                <w:iCs/>
                <w:color w:val="000000"/>
                <w:sz w:val="18"/>
                <w:szCs w:val="18"/>
                <w:shd w:val="clear" w:color="auto" w:fill="FFFFFF"/>
                <w:lang w:val="it-IT" w:eastAsia="en-IE"/>
              </w:rPr>
              <w:br/>
              <w:t>1,3</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651EB" w14:textId="2C80DFEB" w:rsidR="007935FC" w:rsidRPr="00656794" w:rsidRDefault="007935FC" w:rsidP="00451D23">
            <w:pPr>
              <w:spacing w:before="20" w:after="0" w:line="240" w:lineRule="auto"/>
              <w:ind w:left="1161" w:right="1238" w:hanging="6"/>
              <w:rPr>
                <w:rFonts w:ascii="Arial" w:eastAsia="Times New Roman" w:hAnsi="Arial" w:cs="Arial"/>
                <w:i/>
                <w:iCs/>
                <w:color w:val="000000"/>
                <w:sz w:val="18"/>
                <w:szCs w:val="18"/>
                <w:shd w:val="clear" w:color="auto" w:fill="FFFFFF"/>
                <w:lang w:val="it-IT" w:eastAsia="en-IE"/>
              </w:rPr>
            </w:pPr>
            <w:r w:rsidRPr="00656794">
              <w:rPr>
                <w:rFonts w:ascii="Arial" w:eastAsia="Times New Roman" w:hAnsi="Arial" w:cs="Arial"/>
                <w:i/>
                <w:iCs/>
                <w:color w:val="000000"/>
                <w:sz w:val="18"/>
                <w:szCs w:val="18"/>
                <w:shd w:val="clear" w:color="auto" w:fill="FFFFFF"/>
                <w:lang w:val="it-IT" w:eastAsia="en-IE"/>
              </w:rPr>
              <w:t>16.976,6</w:t>
            </w:r>
            <w:r w:rsidRPr="00656794">
              <w:rPr>
                <w:rFonts w:ascii="Arial" w:eastAsia="Times New Roman" w:hAnsi="Arial" w:cs="Arial"/>
                <w:i/>
                <w:iCs/>
                <w:color w:val="000000"/>
                <w:sz w:val="18"/>
                <w:szCs w:val="18"/>
                <w:shd w:val="clear" w:color="auto" w:fill="FFFFFF"/>
                <w:lang w:val="it-IT" w:eastAsia="en-IE"/>
              </w:rPr>
              <w:br/>
              <w:t>4.103,7</w:t>
            </w:r>
            <w:r w:rsidRPr="00656794">
              <w:rPr>
                <w:rFonts w:ascii="Arial" w:eastAsia="Times New Roman" w:hAnsi="Arial" w:cs="Arial"/>
                <w:i/>
                <w:iCs/>
                <w:color w:val="000000"/>
                <w:sz w:val="18"/>
                <w:szCs w:val="18"/>
                <w:shd w:val="clear" w:color="auto" w:fill="FFFFFF"/>
                <w:lang w:val="it-IT" w:eastAsia="en-IE"/>
              </w:rPr>
              <w:br/>
              <w:t>12.903,2</w:t>
            </w:r>
            <w:r w:rsidR="00451D23" w:rsidRPr="00656794">
              <w:rPr>
                <w:rFonts w:ascii="Arial" w:eastAsia="Times New Roman" w:hAnsi="Arial" w:cs="Arial"/>
                <w:i/>
                <w:iCs/>
                <w:color w:val="000000"/>
                <w:sz w:val="18"/>
                <w:szCs w:val="18"/>
                <w:shd w:val="clear" w:color="auto" w:fill="FFFFFF"/>
                <w:lang w:val="it-IT" w:eastAsia="en-IE"/>
              </w:rPr>
              <w:br/>
              <w:t>(32,7)</w:t>
            </w:r>
            <w:r w:rsidR="00451D23" w:rsidRPr="00656794">
              <w:rPr>
                <w:rFonts w:ascii="Arial" w:eastAsia="Times New Roman" w:hAnsi="Arial" w:cs="Arial"/>
                <w:i/>
                <w:iCs/>
                <w:color w:val="000000"/>
                <w:sz w:val="18"/>
                <w:szCs w:val="18"/>
                <w:shd w:val="clear" w:color="auto" w:fill="FFFFFF"/>
                <w:lang w:val="it-IT" w:eastAsia="en-IE"/>
              </w:rPr>
              <w:br/>
              <w:t>2,5</w:t>
            </w:r>
          </w:p>
        </w:tc>
      </w:tr>
      <w:tr w:rsidR="00635DA7" w:rsidRPr="00656794" w14:paraId="11096AEE" w14:textId="77777777" w:rsidTr="00A503DC">
        <w:trPr>
          <w:trHeight w:val="312"/>
        </w:trPr>
        <w:tc>
          <w:tcPr>
            <w:tcW w:w="3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7A2FE" w14:textId="10F5572B" w:rsidR="00635DA7" w:rsidRPr="00656794" w:rsidRDefault="00635DA7" w:rsidP="00635DA7">
            <w:pPr>
              <w:spacing w:after="0" w:line="240" w:lineRule="auto"/>
              <w:ind w:left="127"/>
              <w:rPr>
                <w:rFonts w:ascii="Arial" w:eastAsia="Times New Roman" w:hAnsi="Arial" w:cs="Arial"/>
                <w:b/>
                <w:bCs/>
                <w:sz w:val="18"/>
                <w:szCs w:val="18"/>
                <w:lang w:val="it-IT" w:eastAsia="en-IE"/>
              </w:rPr>
            </w:pPr>
            <w:r w:rsidRPr="00656794">
              <w:rPr>
                <w:rFonts w:ascii="Arial" w:hAnsi="Arial" w:cs="Arial"/>
                <w:b/>
                <w:bCs/>
                <w:sz w:val="18"/>
                <w:szCs w:val="18"/>
                <w:lang w:val="it-IT"/>
              </w:rPr>
              <w:t>BEL lordo non modellato e altre riserve</w:t>
            </w:r>
          </w:p>
        </w:tc>
        <w:tc>
          <w:tcPr>
            <w:tcW w:w="1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4A5C5" w14:textId="3AA881F6" w:rsidR="00635DA7" w:rsidRPr="00656794" w:rsidRDefault="00635DA7" w:rsidP="00635DA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290,5 </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83295" w14:textId="138A76C3" w:rsidR="00635DA7" w:rsidRPr="00656794" w:rsidRDefault="00635DA7" w:rsidP="00635DA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248,1</w:t>
            </w:r>
          </w:p>
        </w:tc>
      </w:tr>
      <w:tr w:rsidR="00635DA7" w:rsidRPr="00656794" w14:paraId="134EC087" w14:textId="77777777" w:rsidTr="00A503DC">
        <w:trPr>
          <w:trHeight w:val="203"/>
        </w:trPr>
        <w:tc>
          <w:tcPr>
            <w:tcW w:w="3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7D60C" w14:textId="21B5E3E5" w:rsidR="00635DA7" w:rsidRPr="00656794" w:rsidRDefault="00635DA7" w:rsidP="00635DA7">
            <w:pPr>
              <w:spacing w:after="0" w:line="240" w:lineRule="auto"/>
              <w:ind w:left="121"/>
              <w:rPr>
                <w:rFonts w:ascii="Arial" w:eastAsia="Times New Roman" w:hAnsi="Arial" w:cs="Arial"/>
                <w:b/>
                <w:bCs/>
                <w:sz w:val="18"/>
                <w:szCs w:val="18"/>
                <w:lang w:val="it-IT" w:eastAsia="en-IE"/>
              </w:rPr>
            </w:pPr>
            <w:r w:rsidRPr="00656794">
              <w:rPr>
                <w:rFonts w:ascii="Arial" w:hAnsi="Arial" w:cs="Arial"/>
                <w:b/>
                <w:bCs/>
                <w:sz w:val="18"/>
                <w:szCs w:val="18"/>
                <w:lang w:val="it-IT"/>
              </w:rPr>
              <w:t>Totale Lordo BEL</w:t>
            </w:r>
          </w:p>
        </w:tc>
        <w:tc>
          <w:tcPr>
            <w:tcW w:w="1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B5CEF" w14:textId="1AB50CFC" w:rsidR="00635DA7" w:rsidRPr="00656794" w:rsidRDefault="00635DA7" w:rsidP="00635DA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17.045,5 </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8F6BE" w14:textId="0A593DA1" w:rsidR="00635DA7" w:rsidRPr="00656794" w:rsidRDefault="00635DA7" w:rsidP="00635DA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17.224,7</w:t>
            </w:r>
          </w:p>
        </w:tc>
      </w:tr>
      <w:tr w:rsidR="00635DA7" w:rsidRPr="00656794" w14:paraId="382B723F" w14:textId="77777777" w:rsidTr="00A503DC">
        <w:trPr>
          <w:trHeight w:val="239"/>
        </w:trPr>
        <w:tc>
          <w:tcPr>
            <w:tcW w:w="3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CA4ED" w14:textId="18522615" w:rsidR="00635DA7" w:rsidRPr="00656794" w:rsidRDefault="00635DA7" w:rsidP="00635DA7">
            <w:pPr>
              <w:spacing w:after="0" w:line="240" w:lineRule="auto"/>
              <w:ind w:left="131"/>
              <w:rPr>
                <w:rFonts w:ascii="Arial" w:eastAsia="Times New Roman" w:hAnsi="Arial" w:cs="Arial"/>
                <w:b/>
                <w:bCs/>
                <w:sz w:val="18"/>
                <w:szCs w:val="18"/>
                <w:lang w:val="it-IT" w:eastAsia="en-IE"/>
              </w:rPr>
            </w:pPr>
            <w:r w:rsidRPr="00656794">
              <w:rPr>
                <w:rFonts w:ascii="Arial" w:hAnsi="Arial" w:cs="Arial"/>
                <w:b/>
                <w:bCs/>
                <w:sz w:val="18"/>
                <w:szCs w:val="18"/>
                <w:lang w:val="it-IT"/>
              </w:rPr>
              <w:t>Margine di rischio</w:t>
            </w:r>
          </w:p>
        </w:tc>
        <w:tc>
          <w:tcPr>
            <w:tcW w:w="1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0068A" w14:textId="707BF860" w:rsidR="00635DA7" w:rsidRPr="00656794" w:rsidRDefault="00635DA7" w:rsidP="00635DA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216,8 </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7D24C" w14:textId="23D3BE8F" w:rsidR="00635DA7" w:rsidRPr="00656794" w:rsidRDefault="00635DA7" w:rsidP="00635DA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192,4</w:t>
            </w:r>
          </w:p>
        </w:tc>
      </w:tr>
      <w:tr w:rsidR="00635DA7" w:rsidRPr="00656794" w14:paraId="1B74D2FA" w14:textId="77777777" w:rsidTr="00A503DC">
        <w:trPr>
          <w:trHeight w:val="133"/>
        </w:trPr>
        <w:tc>
          <w:tcPr>
            <w:tcW w:w="3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A9D0C" w14:textId="63D879FE" w:rsidR="00635DA7" w:rsidRPr="00656794" w:rsidRDefault="00635DA7" w:rsidP="00635DA7">
            <w:pPr>
              <w:spacing w:after="0" w:line="240" w:lineRule="auto"/>
              <w:ind w:left="131"/>
              <w:rPr>
                <w:rFonts w:ascii="Arial" w:eastAsia="Times New Roman" w:hAnsi="Arial" w:cs="Arial"/>
                <w:b/>
                <w:bCs/>
                <w:sz w:val="18"/>
                <w:szCs w:val="18"/>
                <w:lang w:val="it-IT" w:eastAsia="en-IE"/>
              </w:rPr>
            </w:pPr>
            <w:r w:rsidRPr="00656794">
              <w:rPr>
                <w:rFonts w:ascii="Arial" w:hAnsi="Arial" w:cs="Arial"/>
                <w:b/>
                <w:bCs/>
                <w:sz w:val="18"/>
                <w:szCs w:val="18"/>
                <w:lang w:val="it-IT"/>
              </w:rPr>
              <w:t>Riassicurazione recuperabile</w:t>
            </w:r>
          </w:p>
        </w:tc>
        <w:tc>
          <w:tcPr>
            <w:tcW w:w="1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7BE1B" w14:textId="6125E269" w:rsidR="00635DA7" w:rsidRPr="00656794" w:rsidRDefault="00635DA7" w:rsidP="00635DA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(53,0) </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50F9D" w14:textId="3FC6BD0F" w:rsidR="00635DA7" w:rsidRPr="00656794" w:rsidRDefault="00635DA7" w:rsidP="00635DA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(48,3)</w:t>
            </w:r>
          </w:p>
        </w:tc>
      </w:tr>
      <w:tr w:rsidR="00635DA7" w:rsidRPr="00656794" w14:paraId="286D3018" w14:textId="77777777" w:rsidTr="00A503DC">
        <w:trPr>
          <w:trHeight w:val="322"/>
        </w:trPr>
        <w:tc>
          <w:tcPr>
            <w:tcW w:w="3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E8B99" w14:textId="0E18ADD7" w:rsidR="00635DA7" w:rsidRPr="00656794" w:rsidRDefault="00635DA7" w:rsidP="00635DA7">
            <w:pPr>
              <w:spacing w:after="0" w:line="240" w:lineRule="auto"/>
              <w:ind w:left="121"/>
              <w:rPr>
                <w:rFonts w:ascii="Arial" w:eastAsia="Times New Roman" w:hAnsi="Arial" w:cs="Arial"/>
                <w:b/>
                <w:bCs/>
                <w:sz w:val="18"/>
                <w:szCs w:val="18"/>
                <w:lang w:val="it-IT" w:eastAsia="en-IE"/>
              </w:rPr>
            </w:pPr>
            <w:r w:rsidRPr="00656794">
              <w:rPr>
                <w:rFonts w:ascii="Arial" w:hAnsi="Arial" w:cs="Arial"/>
                <w:b/>
                <w:bCs/>
                <w:sz w:val="18"/>
                <w:szCs w:val="18"/>
                <w:lang w:val="it-IT"/>
              </w:rPr>
              <w:t>Totale riserve tecniche nette</w:t>
            </w:r>
          </w:p>
        </w:tc>
        <w:tc>
          <w:tcPr>
            <w:tcW w:w="18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E510F" w14:textId="50C76487" w:rsidR="00635DA7" w:rsidRPr="00656794" w:rsidRDefault="00635DA7" w:rsidP="00635DA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17.209,3 </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89C9F" w14:textId="13275DA6" w:rsidR="00635DA7" w:rsidRPr="00656794" w:rsidRDefault="00635DA7" w:rsidP="00635DA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17.368,7</w:t>
            </w:r>
          </w:p>
        </w:tc>
      </w:tr>
    </w:tbl>
    <w:p w14:paraId="17DF2DE7" w14:textId="496B45DA" w:rsidR="00187A3D" w:rsidRPr="00656794" w:rsidRDefault="00187A3D" w:rsidP="00187A3D">
      <w:pPr>
        <w:pStyle w:val="NormalWeb"/>
        <w:ind w:right="102"/>
        <w:rPr>
          <w:rFonts w:ascii="Arial" w:hAnsi="Arial" w:cs="Arial"/>
          <w:color w:val="000000"/>
          <w:sz w:val="12"/>
          <w:szCs w:val="12"/>
          <w:shd w:val="clear" w:color="auto" w:fill="FFFFFF"/>
          <w:lang w:val="it-IT"/>
        </w:rPr>
      </w:pPr>
      <w:r w:rsidRPr="00656794">
        <w:rPr>
          <w:rFonts w:ascii="Arial" w:hAnsi="Arial" w:cs="Arial"/>
          <w:color w:val="000000"/>
          <w:sz w:val="12"/>
          <w:szCs w:val="12"/>
          <w:shd w:val="clear" w:color="auto" w:fill="FFFFFF"/>
          <w:lang w:val="it-IT"/>
        </w:rPr>
        <w:t>Fonte: analisi ZIL</w:t>
      </w:r>
      <w:r w:rsidRPr="00656794">
        <w:rPr>
          <w:rFonts w:ascii="Arial" w:hAnsi="Arial" w:cs="Arial"/>
          <w:color w:val="000000"/>
          <w:sz w:val="12"/>
          <w:szCs w:val="12"/>
          <w:shd w:val="clear" w:color="auto" w:fill="FFFFFF"/>
          <w:lang w:val="it-IT"/>
        </w:rPr>
        <w:br/>
        <w:t>Note: *Costi futuri per progetti una tantum a lungo termine</w:t>
      </w:r>
    </w:p>
    <w:p w14:paraId="3ED9AC31" w14:textId="53E943B4" w:rsidR="00A04F48" w:rsidRPr="00656794" w:rsidRDefault="00A04F48" w:rsidP="00187A3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migliore stima della passività lorda è una media ponderata in base alle probabilità dei flussi di cassa futuri, scontati utilizzando una struttura a termine dei tassi di interesse prescritta e priva di rischio, mentre il margine di rischio è destinato a riflettere la compensazione che una terza parte richiederebbe per i costi di capitale sostenuti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assunzione delle responsabilità assicurative.</w:t>
      </w:r>
    </w:p>
    <w:p w14:paraId="3FAFA805" w14:textId="7989F370"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In termini di giudizi chiave utilizzati per preparare le proprie riserve tecniche Solvency II, ZIL applica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aggiustamento della volatilità (che è un aggiustamento della curva dei rendimenti risk free EIOPA) per le gestioni separate con profitto e non utilizza altre misure transitorie.</w:t>
      </w:r>
    </w:p>
    <w:p w14:paraId="50CDA7F3" w14:textId="387AD42B"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azione gestionale chiave attuata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ambito delle </w:t>
      </w:r>
      <w:r w:rsidR="00935B1B" w:rsidRPr="00656794">
        <w:rPr>
          <w:rFonts w:ascii="Arial" w:hAnsi="Arial" w:cs="Arial"/>
          <w:color w:val="000000"/>
          <w:sz w:val="20"/>
          <w:szCs w:val="20"/>
          <w:lang w:val="it-IT"/>
        </w:rPr>
        <w:t>Riserve tecniche</w:t>
      </w:r>
      <w:r w:rsidRPr="00656794">
        <w:rPr>
          <w:rFonts w:ascii="Arial" w:hAnsi="Arial" w:cs="Arial"/>
          <w:color w:val="000000"/>
          <w:sz w:val="20"/>
          <w:szCs w:val="20"/>
          <w:lang w:val="it-IT"/>
        </w:rPr>
        <w:t xml:space="preserve"> è in relazione al processo di asset allocation strategica in cui il Consiglio approva ogni anno un insieme di azioni di gestione degli investimenti definendo la strategia di investimento per le gestioni separate con profitto, in linea con la loro politica di gestione degli investimenti. Per ogni fondo è fissato un obiettivo di rendimento. ZIL mira a ottimizzare i rendimenti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di ciascun fondo. Durante il 2021 ZIL </w:t>
      </w:r>
      <w:r w:rsidR="00EB3815">
        <w:rPr>
          <w:rFonts w:ascii="Arial" w:hAnsi="Arial" w:cs="Arial"/>
          <w:color w:val="000000"/>
          <w:sz w:val="20"/>
          <w:szCs w:val="20"/>
          <w:lang w:val="it-IT"/>
        </w:rPr>
        <w:t>compie</w:t>
      </w:r>
      <w:r w:rsidRPr="00656794">
        <w:rPr>
          <w:rFonts w:ascii="Arial" w:hAnsi="Arial" w:cs="Arial"/>
          <w:color w:val="000000"/>
          <w:sz w:val="20"/>
          <w:szCs w:val="20"/>
          <w:lang w:val="it-IT"/>
        </w:rPr>
        <w:t xml:space="preserve"> una mossa strategica per ridurre la ponderazione dei titoli di stato italiani a favore di classi di investimento alternative come i mutui olandesi e il </w:t>
      </w:r>
      <w:r w:rsidR="00D8558C" w:rsidRPr="00656794">
        <w:rPr>
          <w:rFonts w:ascii="Arial" w:hAnsi="Arial" w:cs="Arial"/>
          <w:color w:val="000000"/>
          <w:sz w:val="20"/>
          <w:szCs w:val="20"/>
          <w:lang w:val="it-IT"/>
        </w:rPr>
        <w:t xml:space="preserve">debito privato/equità </w:t>
      </w:r>
      <w:r w:rsidRPr="00656794">
        <w:rPr>
          <w:rFonts w:ascii="Arial" w:hAnsi="Arial" w:cs="Arial"/>
          <w:color w:val="000000"/>
          <w:sz w:val="20"/>
          <w:szCs w:val="20"/>
          <w:lang w:val="it-IT"/>
        </w:rPr>
        <w:t>per ottenere una più ampia diversificazione dei rischi e per cercare rendimenti più elevati. Il profilo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attivo e le relative esposizioni al rischio di mercato influiscono sul requisito patrimoniale di solvibilità previsto da Solvency II che determina la componente del margine di rischio delle riserve tecniche. Il profilo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attivo può anche avere impatti minori di secondo ordine sulle riserve tecniche attraverso spese legate ai valori del fondo di quota.</w:t>
      </w:r>
    </w:p>
    <w:p w14:paraId="7CB0F0D6" w14:textId="2E5F8229"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Come notato nella sezione 3.2.1, la strategia e il </w:t>
      </w:r>
      <w:r w:rsidR="00EB3815">
        <w:rPr>
          <w:rFonts w:ascii="Arial" w:hAnsi="Arial" w:cs="Arial"/>
          <w:color w:val="000000"/>
          <w:sz w:val="20"/>
          <w:szCs w:val="20"/>
          <w:lang w:val="it-IT"/>
        </w:rPr>
        <w:t>piano</w:t>
      </w:r>
      <w:r w:rsidR="00783326">
        <w:rPr>
          <w:rFonts w:ascii="Arial" w:hAnsi="Arial" w:cs="Arial"/>
          <w:color w:val="000000"/>
          <w:sz w:val="20"/>
          <w:szCs w:val="20"/>
          <w:lang w:val="it-IT"/>
        </w:rPr>
        <w:t xml:space="preserve"> aziendale</w:t>
      </w:r>
      <w:r w:rsidRPr="00656794">
        <w:rPr>
          <w:rFonts w:ascii="Arial" w:hAnsi="Arial" w:cs="Arial"/>
          <w:color w:val="000000"/>
          <w:sz w:val="20"/>
          <w:szCs w:val="20"/>
          <w:lang w:val="it-IT"/>
        </w:rPr>
        <w:t xml:space="preserve"> di ZIL sono stati rivisitati nel 2020 e la direzione di ZIL ha deciso di abbandonare la tradizionale attività di assicurazione sulla vita per perseguire più </w:t>
      </w:r>
      <w:r w:rsidR="00EB3815">
        <w:rPr>
          <w:rFonts w:ascii="Arial" w:hAnsi="Arial" w:cs="Arial"/>
          <w:color w:val="000000"/>
          <w:sz w:val="20"/>
          <w:szCs w:val="20"/>
          <w:lang w:val="it-IT"/>
        </w:rPr>
        <w:t xml:space="preserve">su </w:t>
      </w:r>
      <w:r w:rsidRPr="00656794">
        <w:rPr>
          <w:rFonts w:ascii="Arial" w:hAnsi="Arial" w:cs="Arial"/>
          <w:color w:val="000000"/>
          <w:sz w:val="20"/>
          <w:szCs w:val="20"/>
          <w:lang w:val="it-IT"/>
        </w:rPr>
        <w:t xml:space="preserve">assicurazioni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e ibride (business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con un elemento di protezione) </w:t>
      </w:r>
      <w:r w:rsidR="00EB3815">
        <w:rPr>
          <w:rFonts w:ascii="Arial" w:hAnsi="Arial" w:cs="Arial"/>
          <w:color w:val="000000"/>
          <w:sz w:val="20"/>
          <w:szCs w:val="20"/>
          <w:lang w:val="it-IT"/>
        </w:rPr>
        <w:t>dora in avanti</w:t>
      </w:r>
      <w:r w:rsidRPr="00656794">
        <w:rPr>
          <w:rFonts w:ascii="Arial" w:hAnsi="Arial" w:cs="Arial"/>
          <w:color w:val="000000"/>
          <w:sz w:val="20"/>
          <w:szCs w:val="20"/>
          <w:lang w:val="it-IT"/>
        </w:rPr>
        <w:t>. Tale decisione è motivata dalla volontà di puntare su prodotti a minore intensità di capitale, di ridurre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al rischio di mercato ed in particolare al rischio di spread, e di continuare a mantenere una presenza competitiva nel mercato italiano.</w:t>
      </w:r>
    </w:p>
    <w:p w14:paraId="1BE7EBC1" w14:textId="17C36928" w:rsidR="0076313D"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Ai sensi della normativa Solvency II la funzione attuariale è responsabile del coordinamento del calcolo delle riserve tecniche. La funzione attuariale e il regolatore italiano hanno evidenziato alcune raccomandazioni in relazione al calcolo delle riserve tecniche nel 2019. Le raccomandazioni si sono concentrate su aree come la governance attorno alla piattaforma di modellazione attuariale, migliorando la sofisticazione del software di modellazione per incorporare caratteristiche del business come ipotesi più granulari e per eliminare la necessità di alcuni aggiustamenti manuali dei dati. La maggior parte delle raccomandazioni delineate nel 2019 è stata incorporata nel calcolo delle Riserve Tecniche nel corso del 2020 a seguito del lancio di una nuova piattaforma di modellazione attuariale. Il 30 giugno 2021 sono state messe in produzione ulteriori aree di sviluppo del modello attuariale, comprese le caratteristiche e le funzionalità di riassicurazione per consentire condizioni personalizzate su determinati prodotti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di accordi speciali. ipotesi, monitoraggio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di raggruppamento e controlli sulla piattaforma attuariale.</w:t>
      </w:r>
    </w:p>
    <w:p w14:paraId="4A7A9789" w14:textId="07520A73" w:rsidR="00A04F48" w:rsidRPr="00656794" w:rsidRDefault="00A04F48" w:rsidP="00451D23">
      <w:pPr>
        <w:spacing w:before="491"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3.7 </w:t>
      </w:r>
      <w:r w:rsidR="00A82798" w:rsidRPr="00656794">
        <w:rPr>
          <w:rFonts w:ascii="Arial" w:eastAsia="Times New Roman" w:hAnsi="Arial" w:cs="Arial"/>
          <w:b/>
          <w:bCs/>
          <w:color w:val="00338D"/>
          <w:sz w:val="28"/>
          <w:szCs w:val="28"/>
          <w:lang w:val="it-IT" w:eastAsia="en-IE"/>
        </w:rPr>
        <w:t>Posizione di solvibilità</w:t>
      </w:r>
      <w:r w:rsidRPr="00656794">
        <w:rPr>
          <w:rFonts w:ascii="Arial" w:eastAsia="Times New Roman" w:hAnsi="Arial" w:cs="Arial"/>
          <w:b/>
          <w:bCs/>
          <w:color w:val="00338D"/>
          <w:sz w:val="28"/>
          <w:szCs w:val="28"/>
          <w:lang w:val="it-IT" w:eastAsia="en-IE"/>
        </w:rPr>
        <w:t> </w:t>
      </w:r>
    </w:p>
    <w:p w14:paraId="5C143291" w14:textId="476664D3" w:rsidR="00A04F48" w:rsidRPr="00656794" w:rsidRDefault="00A04F48" w:rsidP="00451D23">
      <w:pPr>
        <w:spacing w:before="138"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3.7.1 Solvency II </w:t>
      </w:r>
      <w:r w:rsidR="00A82798" w:rsidRPr="00656794">
        <w:rPr>
          <w:rFonts w:ascii="Arial" w:eastAsia="Times New Roman" w:hAnsi="Arial" w:cs="Arial"/>
          <w:color w:val="00338D"/>
          <w:sz w:val="24"/>
          <w:szCs w:val="24"/>
          <w:lang w:val="it-IT" w:eastAsia="en-IE"/>
        </w:rPr>
        <w:t>Requisito patrimoniale di solvibilità</w:t>
      </w:r>
      <w:r w:rsidRPr="00656794">
        <w:rPr>
          <w:rFonts w:ascii="Arial" w:eastAsia="Times New Roman" w:hAnsi="Arial" w:cs="Arial"/>
          <w:color w:val="00338D"/>
          <w:sz w:val="24"/>
          <w:szCs w:val="24"/>
          <w:lang w:val="it-IT" w:eastAsia="en-IE"/>
        </w:rPr>
        <w:t>  </w:t>
      </w:r>
    </w:p>
    <w:p w14:paraId="1116F3B9" w14:textId="7BE87160"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Ai sensi di Solvency II, le imprese devono detenere un capitale pari al maggiore tra il requisito patrimoniale di solvibilità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o il requisito patrimoniale minimo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MCR</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Nel caso di ZIL, a fine anno 2020, è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che si applica.</w:t>
      </w:r>
    </w:p>
    <w:p w14:paraId="3890ACB7" w14:textId="57A7C648"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è determinato sottoponendo il bilancio complessivo a una serie prescritta di shock da 1 a 200 anni e aggregando gli impatti in modo specifico. Il MCR rappresenta il livello minimo assoluto di capitale che deve essere detenuto, determinato utilizzando una funzione lineare che considera, tra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altro,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SCR, il capitale a rischio, le Riserve Tecniche, i premi contabilizzati e le spese amministrative. Il MCR è inoltre soggetto ad un importo minimo assoluto, espresso in </w:t>
      </w:r>
      <w:r w:rsidR="00A82798" w:rsidRPr="00656794">
        <w:rPr>
          <w:rFonts w:ascii="Arial" w:hAnsi="Arial" w:cs="Arial"/>
          <w:color w:val="000000"/>
          <w:sz w:val="20"/>
          <w:szCs w:val="20"/>
          <w:lang w:val="it-IT"/>
        </w:rPr>
        <w:t>euro</w:t>
      </w:r>
      <w:r w:rsidRPr="00656794">
        <w:rPr>
          <w:rFonts w:ascii="Arial" w:hAnsi="Arial" w:cs="Arial"/>
          <w:color w:val="000000"/>
          <w:sz w:val="20"/>
          <w:szCs w:val="20"/>
          <w:lang w:val="it-IT"/>
        </w:rPr>
        <w:t>. Ulteriori dettagli sulla determinazione di entrambi sono riportati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appendice 5.</w:t>
      </w:r>
    </w:p>
    <w:p w14:paraId="213EBE47" w14:textId="54ADE569"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Sotto Solvency II, le attività disponibili per coprire i requisiti patrimoniali sono denominate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Fondi Propri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con i Fondi Propri che riflettono il valore della posizione patrimoniale netta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impresa. Il confronto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con il livello dei Fondi Propri fornisce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indicazione sul livello di copertura della solvibilità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di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impresa.</w:t>
      </w:r>
    </w:p>
    <w:p w14:paraId="4A096BB8" w14:textId="17E5532A"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La tabella 3.5 che segue riporta la posizione patrimoniale di vigilanza di ZIL, in ambito Solvency II, al 31 dicembre 2020 e al 30 giugno 2021.</w:t>
      </w:r>
    </w:p>
    <w:p w14:paraId="31FDC0D9" w14:textId="0CB095E5" w:rsidR="00A04F48" w:rsidRPr="00656794" w:rsidRDefault="00A04F48" w:rsidP="00D64DC1">
      <w:pPr>
        <w:spacing w:before="97" w:after="0" w:line="240" w:lineRule="auto"/>
        <w:ind w:right="849"/>
        <w:jc w:val="right"/>
        <w:rPr>
          <w:rFonts w:ascii="Times New Roman" w:eastAsia="Times New Roman" w:hAnsi="Times New Roman" w:cs="Times New Roman"/>
          <w:sz w:val="24"/>
          <w:szCs w:val="24"/>
          <w:lang w:val="it-IT" w:eastAsia="en-IE"/>
        </w:rPr>
      </w:pPr>
    </w:p>
    <w:tbl>
      <w:tblPr>
        <w:tblW w:w="0" w:type="auto"/>
        <w:tblCellMar>
          <w:top w:w="15" w:type="dxa"/>
          <w:left w:w="15" w:type="dxa"/>
          <w:bottom w:w="15" w:type="dxa"/>
          <w:right w:w="15" w:type="dxa"/>
        </w:tblCellMar>
        <w:tblLook w:val="04A0" w:firstRow="1" w:lastRow="0" w:firstColumn="1" w:lastColumn="0" w:noHBand="0" w:noVBand="1"/>
      </w:tblPr>
      <w:tblGrid>
        <w:gridCol w:w="4526"/>
        <w:gridCol w:w="2127"/>
        <w:gridCol w:w="2268"/>
      </w:tblGrid>
      <w:tr w:rsidR="003800DF" w:rsidRPr="00B84464" w14:paraId="65695372" w14:textId="77777777" w:rsidTr="00891CE0">
        <w:trPr>
          <w:trHeight w:val="278"/>
        </w:trPr>
        <w:tc>
          <w:tcPr>
            <w:tcW w:w="8921" w:type="dxa"/>
            <w:gridSpan w:val="3"/>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tcPr>
          <w:p w14:paraId="570B3E7E" w14:textId="56F85199" w:rsidR="003800DF" w:rsidRPr="00656794" w:rsidRDefault="003800DF" w:rsidP="00891CE0">
            <w:pPr>
              <w:spacing w:before="98" w:after="0" w:line="240" w:lineRule="auto"/>
              <w:ind w:right="1004"/>
              <w:rPr>
                <w:rFonts w:ascii="Arial" w:eastAsia="Times New Roman" w:hAnsi="Arial" w:cs="Arial"/>
                <w:color w:val="FFFFFF" w:themeColor="background1"/>
                <w:sz w:val="20"/>
                <w:szCs w:val="20"/>
                <w:lang w:val="it-IT" w:eastAsia="en-IE"/>
              </w:rPr>
            </w:pPr>
            <w:r w:rsidRPr="00656794">
              <w:rPr>
                <w:rFonts w:ascii="Arial" w:eastAsia="Times New Roman" w:hAnsi="Arial" w:cs="Arial"/>
                <w:color w:val="FFFFFF" w:themeColor="background1"/>
                <w:sz w:val="20"/>
                <w:szCs w:val="20"/>
                <w:lang w:val="it-IT" w:eastAsia="en-IE"/>
              </w:rPr>
              <w:t>Tabella 3.5: Copertura di solvibilità ZIL €m</w:t>
            </w:r>
          </w:p>
        </w:tc>
      </w:tr>
      <w:tr w:rsidR="003800DF" w:rsidRPr="00656794" w14:paraId="62E4C5FB" w14:textId="77777777" w:rsidTr="003800DF">
        <w:trPr>
          <w:trHeight w:val="309"/>
        </w:trPr>
        <w:tc>
          <w:tcPr>
            <w:tcW w:w="452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285144B2" w14:textId="77777777" w:rsidR="003800DF" w:rsidRPr="00656794" w:rsidRDefault="003800DF" w:rsidP="003800DF">
            <w:pPr>
              <w:spacing w:after="0" w:line="240" w:lineRule="auto"/>
              <w:ind w:left="132"/>
              <w:rPr>
                <w:rFonts w:ascii="Arial" w:eastAsia="Times New Roman" w:hAnsi="Arial" w:cs="Arial"/>
                <w:b/>
                <w:bCs/>
                <w:color w:val="000000"/>
                <w:sz w:val="18"/>
                <w:szCs w:val="18"/>
                <w:lang w:val="it-IT" w:eastAsia="en-IE"/>
              </w:rPr>
            </w:pPr>
          </w:p>
        </w:tc>
        <w:tc>
          <w:tcPr>
            <w:tcW w:w="212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50C53316" w14:textId="2B279739" w:rsidR="003800DF" w:rsidRPr="00656794" w:rsidRDefault="003800DF" w:rsidP="003800DF">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 xml:space="preserve">31 </w:t>
            </w:r>
            <w:r w:rsidR="00891CE0" w:rsidRPr="00656794">
              <w:rPr>
                <w:rFonts w:ascii="Arial" w:eastAsia="Times New Roman" w:hAnsi="Arial" w:cs="Arial"/>
                <w:b/>
                <w:bCs/>
                <w:color w:val="000000"/>
                <w:sz w:val="18"/>
                <w:szCs w:val="18"/>
                <w:lang w:val="it-IT" w:eastAsia="en-IE"/>
              </w:rPr>
              <w:t>dicembre</w:t>
            </w:r>
            <w:r w:rsidRPr="00656794">
              <w:rPr>
                <w:rFonts w:ascii="Arial" w:eastAsia="Times New Roman" w:hAnsi="Arial" w:cs="Arial"/>
                <w:b/>
                <w:bCs/>
                <w:color w:val="000000"/>
                <w:sz w:val="18"/>
                <w:szCs w:val="18"/>
                <w:lang w:val="it-IT" w:eastAsia="en-IE"/>
              </w:rPr>
              <w:t xml:space="preserve"> 2020</w:t>
            </w:r>
          </w:p>
        </w:tc>
        <w:tc>
          <w:tcPr>
            <w:tcW w:w="22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3845A557" w14:textId="6D732F1B" w:rsidR="003800DF" w:rsidRPr="00656794" w:rsidRDefault="003800DF" w:rsidP="003800DF">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30 giugno 2021</w:t>
            </w:r>
          </w:p>
        </w:tc>
      </w:tr>
      <w:tr w:rsidR="00A04F48" w:rsidRPr="00656794" w14:paraId="3FA88A58" w14:textId="77777777" w:rsidTr="003800DF">
        <w:trPr>
          <w:trHeight w:val="818"/>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11B4E" w14:textId="77777777" w:rsidR="00DC0CC8" w:rsidRDefault="00D64DC1" w:rsidP="00DC0CC8">
            <w:pPr>
              <w:spacing w:after="0" w:line="360" w:lineRule="auto"/>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Fondi propri</w:t>
            </w:r>
          </w:p>
          <w:p w14:paraId="343DCA92" w14:textId="77777777" w:rsidR="00DC0CC8" w:rsidRDefault="00D64DC1" w:rsidP="00DC0CC8">
            <w:pPr>
              <w:spacing w:after="0" w:line="360" w:lineRule="auto"/>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SCR</w:t>
            </w:r>
          </w:p>
          <w:p w14:paraId="2B8169A3" w14:textId="62BAD301" w:rsidR="00A04F48" w:rsidRPr="00DC0CC8" w:rsidRDefault="00D64DC1" w:rsidP="00DC0CC8">
            <w:pPr>
              <w:spacing w:after="0" w:line="360" w:lineRule="auto"/>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Eccesso di Fondi Propri rispetto a SCR</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E61CB" w14:textId="16425803" w:rsidR="00A04F48" w:rsidRPr="00656794" w:rsidRDefault="00A04F48" w:rsidP="00A04F48">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752</w:t>
            </w:r>
            <w:r w:rsidR="00D64DC1"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1 </w:t>
            </w:r>
          </w:p>
          <w:p w14:paraId="08BA587B" w14:textId="7F1B182A" w:rsidR="00A04F48" w:rsidRPr="00656794" w:rsidRDefault="00A04F48" w:rsidP="00A04F48">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424</w:t>
            </w:r>
            <w:r w:rsidR="00D64DC1"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7 </w:t>
            </w:r>
          </w:p>
          <w:p w14:paraId="6FE10ED8" w14:textId="2A69FA75" w:rsidR="00A04F48" w:rsidRPr="00656794" w:rsidRDefault="00A04F48" w:rsidP="00A04F48">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327</w:t>
            </w:r>
            <w:r w:rsidR="00D64DC1"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4 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35C19" w14:textId="4ED3695C" w:rsidR="00A04F48" w:rsidRPr="00656794" w:rsidRDefault="00A04F48" w:rsidP="00A04F48">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854</w:t>
            </w:r>
            <w:r w:rsidR="00D64DC1"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9</w:t>
            </w:r>
            <w:r w:rsidRPr="00656794">
              <w:rPr>
                <w:rFonts w:ascii="Arial" w:eastAsia="Times New Roman" w:hAnsi="Arial" w:cs="Arial"/>
                <w:color w:val="000000"/>
                <w:sz w:val="18"/>
                <w:szCs w:val="18"/>
                <w:lang w:val="it-IT" w:eastAsia="en-IE"/>
              </w:rPr>
              <w:t> </w:t>
            </w:r>
          </w:p>
          <w:p w14:paraId="23F0E6A7" w14:textId="254FB950" w:rsidR="00A04F48" w:rsidRPr="00656794" w:rsidRDefault="00A04F48" w:rsidP="00A04F48">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437</w:t>
            </w:r>
            <w:r w:rsidR="00D64DC1"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5</w:t>
            </w:r>
            <w:r w:rsidRPr="00656794">
              <w:rPr>
                <w:rFonts w:ascii="Arial" w:eastAsia="Times New Roman" w:hAnsi="Arial" w:cs="Arial"/>
                <w:color w:val="000000"/>
                <w:sz w:val="18"/>
                <w:szCs w:val="18"/>
                <w:lang w:val="it-IT" w:eastAsia="en-IE"/>
              </w:rPr>
              <w:t> </w:t>
            </w:r>
          </w:p>
          <w:p w14:paraId="6BCD57A7" w14:textId="120A9656" w:rsidR="00A04F48" w:rsidRPr="00656794" w:rsidRDefault="00A04F48" w:rsidP="00A04F48">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417</w:t>
            </w:r>
            <w:r w:rsidR="00D64DC1"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4</w:t>
            </w:r>
          </w:p>
        </w:tc>
      </w:tr>
      <w:tr w:rsidR="00A04F48" w:rsidRPr="00656794" w14:paraId="67855518" w14:textId="77777777" w:rsidTr="00C011A9">
        <w:trPr>
          <w:trHeight w:val="337"/>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0225E" w14:textId="52BFE02E" w:rsidR="00A04F48" w:rsidRPr="00656794" w:rsidRDefault="00D64DC1" w:rsidP="00DC0CC8">
            <w:pPr>
              <w:spacing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Rapporto di copertura della solvibilità</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3462B" w14:textId="77777777" w:rsidR="00A04F48" w:rsidRPr="00656794" w:rsidRDefault="00A04F48" w:rsidP="00A04F48">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lang w:val="it-IT" w:eastAsia="en-IE"/>
              </w:rPr>
              <w:t>177%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7A72E" w14:textId="77777777" w:rsidR="00A04F48" w:rsidRPr="00656794" w:rsidRDefault="00A04F48" w:rsidP="00A04F48">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lang w:val="it-IT" w:eastAsia="en-IE"/>
              </w:rPr>
              <w:t>195%</w:t>
            </w:r>
          </w:p>
        </w:tc>
      </w:tr>
    </w:tbl>
    <w:p w14:paraId="37108A96" w14:textId="440FAA84" w:rsidR="00A04F48" w:rsidRPr="00656794" w:rsidRDefault="00FD365E" w:rsidP="00891CE0">
      <w:pPr>
        <w:spacing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2"/>
          <w:szCs w:val="12"/>
          <w:shd w:val="clear" w:color="auto" w:fill="FFFFFF"/>
          <w:lang w:val="it-IT" w:eastAsia="en-IE"/>
        </w:rPr>
        <w:t>Fonte: SFCR 2020; Q2 QRT 2021</w:t>
      </w:r>
      <w:r w:rsidR="00A04F48" w:rsidRPr="00656794">
        <w:rPr>
          <w:rFonts w:ascii="Arial" w:eastAsia="Times New Roman" w:hAnsi="Arial" w:cs="Arial"/>
          <w:color w:val="000000"/>
          <w:sz w:val="12"/>
          <w:szCs w:val="12"/>
          <w:lang w:val="it-IT" w:eastAsia="en-IE"/>
        </w:rPr>
        <w:t> </w:t>
      </w:r>
    </w:p>
    <w:p w14:paraId="751FBCC1" w14:textId="6A6A1F0A"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Al 31 giugno 2021 i rendimenti di Solvency II hanno mostrato che i Fondi Propri totali disponibili al netto delle passività di ZIL erano 854,9 milioni di euro,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eccedenza di 417,4 milioni di euro rispetto al requisito patrimoniale di solvibilità di 437,5 milioni di euro. C</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era un coefficiente di copertura di solvibilità del 195%.</w:t>
      </w:r>
    </w:p>
    <w:p w14:paraId="5D992C53" w14:textId="77777777"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 Fondi Propri sono tutti classificati come Tier 1 capital.</w:t>
      </w:r>
    </w:p>
    <w:p w14:paraId="584661DD" w14:textId="749E36FA"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incremento del coverage ratio di Solvency nel periodo è dovuto principalmente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incremento dei Fondi Propri trainato da una riduzione dello spread sui mercati obbligazionari, sottoscrivendo </w:t>
      </w:r>
      <w:r w:rsidR="00870CE8">
        <w:rPr>
          <w:rFonts w:ascii="Arial" w:hAnsi="Arial" w:cs="Arial"/>
          <w:color w:val="000000"/>
          <w:sz w:val="20"/>
          <w:szCs w:val="20"/>
          <w:lang w:val="it-IT"/>
        </w:rPr>
        <w:t xml:space="preserve">un </w:t>
      </w:r>
      <w:r w:rsidR="0035633D">
        <w:rPr>
          <w:rFonts w:ascii="Arial" w:hAnsi="Arial" w:cs="Arial"/>
          <w:color w:val="000000"/>
          <w:sz w:val="20"/>
          <w:szCs w:val="20"/>
          <w:lang w:val="it-IT"/>
        </w:rPr>
        <w:t xml:space="preserve">nuovo business redditizio supportato </w:t>
      </w:r>
      <w:r w:rsidRPr="00656794">
        <w:rPr>
          <w:rFonts w:ascii="Arial" w:hAnsi="Arial" w:cs="Arial"/>
          <w:color w:val="000000"/>
          <w:sz w:val="20"/>
          <w:szCs w:val="20"/>
          <w:lang w:val="it-IT"/>
        </w:rPr>
        <w:t>dal graduale cambiamento del mix di prodott</w:t>
      </w:r>
      <w:r w:rsidR="0035633D">
        <w:rPr>
          <w:rFonts w:ascii="Arial" w:hAnsi="Arial" w:cs="Arial"/>
          <w:color w:val="000000"/>
          <w:sz w:val="20"/>
          <w:szCs w:val="20"/>
          <w:lang w:val="it-IT"/>
        </w:rPr>
        <w:t>i</w:t>
      </w:r>
      <w:r w:rsidRPr="00656794">
        <w:rPr>
          <w:rFonts w:ascii="Arial" w:hAnsi="Arial" w:cs="Arial"/>
          <w:color w:val="000000"/>
          <w:sz w:val="20"/>
          <w:szCs w:val="20"/>
          <w:lang w:val="it-IT"/>
        </w:rPr>
        <w:t xml:space="preserv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della rinnovata strategia aziendale, riduzione del</w:t>
      </w:r>
      <w:r w:rsidR="00D67135">
        <w:rPr>
          <w:rFonts w:ascii="Arial" w:hAnsi="Arial" w:cs="Arial"/>
          <w:color w:val="000000"/>
          <w:sz w:val="20"/>
          <w:szCs w:val="20"/>
          <w:lang w:val="it-IT"/>
        </w:rPr>
        <w:t>la disposizione della durata</w:t>
      </w:r>
      <w:r w:rsidRPr="00656794">
        <w:rPr>
          <w:rFonts w:ascii="Arial" w:hAnsi="Arial" w:cs="Arial"/>
          <w:color w:val="000000"/>
          <w:sz w:val="20"/>
          <w:szCs w:val="20"/>
          <w:lang w:val="it-IT"/>
        </w:rPr>
        <w:t xml:space="preserve"> tra attività e passività e perfezionamenti nel modello attuariale utilizzato per il calcolo delle passività.</w:t>
      </w:r>
    </w:p>
    <w:p w14:paraId="1F2542D7" w14:textId="6A1D2234"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è leggermente diminuito nel periodo a causa di una combinazione di eventi, di cui si parlerà più ampiamente di seguito.</w:t>
      </w:r>
    </w:p>
    <w:p w14:paraId="53B42C54" w14:textId="28E13223"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tabella 3.6 che segue riporta la ripartizione della posizione patrimoniale di solvibilità di ZIL per categoria di rischio, in ambito Solvency II al 31 dicembre 2020 e al 30 giugno 2021. I principali driver dei requisiti patrimoniali di ZLAP sono i rischi di sottoscrizione vita (derivanti dai rischi assicurativi assunti) e rischi di mercato.</w:t>
      </w:r>
    </w:p>
    <w:p w14:paraId="02F86734" w14:textId="5546DD2D" w:rsidR="00A04F48" w:rsidRPr="00656794" w:rsidRDefault="00A04F48" w:rsidP="00FD365E">
      <w:pPr>
        <w:spacing w:before="97" w:after="0" w:line="240" w:lineRule="auto"/>
        <w:ind w:right="823"/>
        <w:jc w:val="right"/>
        <w:rPr>
          <w:rFonts w:ascii="Times New Roman" w:eastAsia="Times New Roman" w:hAnsi="Times New Roman" w:cs="Times New Roman"/>
          <w:sz w:val="24"/>
          <w:szCs w:val="24"/>
          <w:lang w:val="it-IT" w:eastAsia="en-IE"/>
        </w:rPr>
      </w:pPr>
    </w:p>
    <w:tbl>
      <w:tblPr>
        <w:tblW w:w="0" w:type="auto"/>
        <w:tblCellMar>
          <w:top w:w="15" w:type="dxa"/>
          <w:left w:w="15" w:type="dxa"/>
          <w:bottom w:w="15" w:type="dxa"/>
          <w:right w:w="15" w:type="dxa"/>
        </w:tblCellMar>
        <w:tblLook w:val="04A0" w:firstRow="1" w:lastRow="0" w:firstColumn="1" w:lastColumn="0" w:noHBand="0" w:noVBand="1"/>
      </w:tblPr>
      <w:tblGrid>
        <w:gridCol w:w="4526"/>
        <w:gridCol w:w="2127"/>
        <w:gridCol w:w="2268"/>
      </w:tblGrid>
      <w:tr w:rsidR="003800DF" w:rsidRPr="00B84464" w14:paraId="76BCA947" w14:textId="77777777" w:rsidTr="00891CE0">
        <w:trPr>
          <w:trHeight w:val="185"/>
        </w:trPr>
        <w:tc>
          <w:tcPr>
            <w:tcW w:w="8921" w:type="dxa"/>
            <w:gridSpan w:val="3"/>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tcPr>
          <w:p w14:paraId="1C5EAA6C" w14:textId="262F87CA" w:rsidR="003800DF" w:rsidRPr="00656794" w:rsidRDefault="003800DF" w:rsidP="003800DF">
            <w:pPr>
              <w:spacing w:before="98" w:after="0" w:line="240" w:lineRule="auto"/>
              <w:ind w:right="1004"/>
              <w:rPr>
                <w:rFonts w:ascii="Arial" w:eastAsia="Times New Roman" w:hAnsi="Arial" w:cs="Arial"/>
                <w:color w:val="FFFFFF" w:themeColor="background1"/>
                <w:sz w:val="20"/>
                <w:szCs w:val="20"/>
                <w:lang w:val="it-IT" w:eastAsia="en-IE"/>
              </w:rPr>
            </w:pPr>
            <w:r w:rsidRPr="00656794">
              <w:rPr>
                <w:rFonts w:ascii="Arial" w:eastAsia="Times New Roman" w:hAnsi="Arial" w:cs="Arial"/>
                <w:color w:val="FFFFFF" w:themeColor="background1"/>
                <w:sz w:val="20"/>
                <w:szCs w:val="20"/>
                <w:lang w:val="it-IT" w:eastAsia="en-IE"/>
              </w:rPr>
              <w:t>Tabella 3.6: Componenti ZIL SCR - €m</w:t>
            </w:r>
          </w:p>
        </w:tc>
      </w:tr>
      <w:tr w:rsidR="003800DF" w:rsidRPr="00656794" w14:paraId="7E316F7F" w14:textId="77777777" w:rsidTr="003800DF">
        <w:trPr>
          <w:trHeight w:val="164"/>
        </w:trPr>
        <w:tc>
          <w:tcPr>
            <w:tcW w:w="452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2A434279" w14:textId="65EEF75E" w:rsidR="003800DF" w:rsidRPr="00656794" w:rsidRDefault="003800DF" w:rsidP="003800DF">
            <w:pPr>
              <w:spacing w:after="0" w:line="240" w:lineRule="auto"/>
              <w:ind w:left="132"/>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Componente</w:t>
            </w:r>
          </w:p>
        </w:tc>
        <w:tc>
          <w:tcPr>
            <w:tcW w:w="212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7159E04A" w14:textId="198CDD50" w:rsidR="003800DF" w:rsidRPr="00656794" w:rsidRDefault="003800DF" w:rsidP="003800DF">
            <w:pPr>
              <w:spacing w:after="0" w:line="240" w:lineRule="auto"/>
              <w:ind w:left="132"/>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 xml:space="preserve">31 </w:t>
            </w:r>
            <w:r w:rsidR="00320531" w:rsidRPr="00656794">
              <w:rPr>
                <w:rFonts w:ascii="Arial" w:eastAsia="Times New Roman" w:hAnsi="Arial" w:cs="Arial"/>
                <w:b/>
                <w:bCs/>
                <w:color w:val="000000"/>
                <w:sz w:val="18"/>
                <w:szCs w:val="18"/>
                <w:lang w:val="it-IT" w:eastAsia="en-IE"/>
              </w:rPr>
              <w:t>dicembre</w:t>
            </w:r>
            <w:r w:rsidRPr="00656794">
              <w:rPr>
                <w:rFonts w:ascii="Arial" w:eastAsia="Times New Roman" w:hAnsi="Arial" w:cs="Arial"/>
                <w:b/>
                <w:bCs/>
                <w:color w:val="000000"/>
                <w:sz w:val="18"/>
                <w:szCs w:val="18"/>
                <w:lang w:val="it-IT" w:eastAsia="en-IE"/>
              </w:rPr>
              <w:t xml:space="preserve"> 2020</w:t>
            </w:r>
          </w:p>
        </w:tc>
        <w:tc>
          <w:tcPr>
            <w:tcW w:w="2268"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tcPr>
          <w:p w14:paraId="1FFE69E6" w14:textId="1A9FFC17" w:rsidR="003800DF" w:rsidRPr="00656794" w:rsidRDefault="003800DF" w:rsidP="003800DF">
            <w:pPr>
              <w:spacing w:after="0" w:line="240" w:lineRule="auto"/>
              <w:ind w:left="132"/>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30 giugno 2021</w:t>
            </w:r>
          </w:p>
        </w:tc>
      </w:tr>
      <w:tr w:rsidR="00A04F48" w:rsidRPr="00656794" w14:paraId="46A3C9E7" w14:textId="77777777" w:rsidTr="003800DF">
        <w:trPr>
          <w:trHeight w:val="1507"/>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3C81D" w14:textId="77777777" w:rsidR="00FD365E" w:rsidRPr="00656794" w:rsidRDefault="00FD365E" w:rsidP="00FD365E">
            <w:pPr>
              <w:spacing w:after="0" w:line="360" w:lineRule="auto"/>
              <w:ind w:left="130"/>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Rischio di mercato</w:t>
            </w:r>
          </w:p>
          <w:p w14:paraId="13D0BB22" w14:textId="2BE15D4C" w:rsidR="00FD365E" w:rsidRPr="00656794" w:rsidRDefault="00FD365E" w:rsidP="00FD365E">
            <w:pPr>
              <w:spacing w:after="0" w:line="360" w:lineRule="auto"/>
              <w:ind w:left="130"/>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Rischio di insolvenza della controparte</w:t>
            </w:r>
          </w:p>
          <w:p w14:paraId="49A7BC7A" w14:textId="7FC4F416" w:rsidR="00FD365E" w:rsidRPr="00656794" w:rsidRDefault="00FD365E" w:rsidP="00FD365E">
            <w:pPr>
              <w:spacing w:after="0" w:line="360" w:lineRule="auto"/>
              <w:ind w:left="130"/>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Rischio di sottoscrizione vita</w:t>
            </w:r>
          </w:p>
          <w:p w14:paraId="198D1FC5" w14:textId="38FCF696" w:rsidR="00A04F48" w:rsidRPr="00656794" w:rsidRDefault="00FD365E" w:rsidP="00FD365E">
            <w:pPr>
              <w:spacing w:after="0" w:line="360" w:lineRule="auto"/>
              <w:ind w:left="130"/>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Rischio di sottoscrizione sanitaria*</w:t>
            </w:r>
            <w:r w:rsidRPr="00656794">
              <w:rPr>
                <w:rFonts w:ascii="Arial" w:eastAsia="Times New Roman" w:hAnsi="Arial" w:cs="Arial"/>
                <w:color w:val="000000"/>
                <w:sz w:val="18"/>
                <w:szCs w:val="18"/>
                <w:shd w:val="clear" w:color="auto" w:fill="FFFFFF"/>
                <w:lang w:val="it-IT" w:eastAsia="en-IE"/>
              </w:rPr>
              <w:br/>
              <w:t>Diversificazione</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89AE9" w14:textId="52630F56" w:rsidR="00A04F48" w:rsidRPr="00656794" w:rsidRDefault="00A04F48" w:rsidP="00FD365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574</w:t>
            </w:r>
            <w:r w:rsidR="00FD365E"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0 </w:t>
            </w:r>
          </w:p>
          <w:p w14:paraId="232BCE63" w14:textId="46D31880" w:rsidR="00A04F48" w:rsidRPr="00656794" w:rsidRDefault="00A04F48" w:rsidP="00FD365E">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25</w:t>
            </w:r>
            <w:r w:rsidR="00FD365E"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8 </w:t>
            </w:r>
          </w:p>
          <w:p w14:paraId="62997B76" w14:textId="14F7E90C" w:rsidR="00A04F48" w:rsidRPr="00656794" w:rsidRDefault="00A04F48" w:rsidP="00FD365E">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307</w:t>
            </w:r>
            <w:r w:rsidR="00FD365E"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1 </w:t>
            </w:r>
          </w:p>
          <w:p w14:paraId="3522535B" w14:textId="77777777" w:rsidR="00A04F48" w:rsidRPr="00656794" w:rsidRDefault="00A04F48" w:rsidP="00FD365E">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0 </w:t>
            </w:r>
          </w:p>
          <w:p w14:paraId="00E49CB5" w14:textId="6A0D21E3" w:rsidR="00A04F48" w:rsidRPr="00656794" w:rsidRDefault="00A04F48" w:rsidP="00FD365E">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(183</w:t>
            </w:r>
            <w:r w:rsidR="00FD365E"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0)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C8CA4" w14:textId="2E4AD0C5" w:rsidR="00A04F48" w:rsidRPr="00656794" w:rsidRDefault="00A04F48" w:rsidP="00A04F48">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673</w:t>
            </w:r>
            <w:r w:rsidR="00FD365E"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6</w:t>
            </w:r>
            <w:r w:rsidRPr="00656794">
              <w:rPr>
                <w:rFonts w:ascii="Arial" w:eastAsia="Times New Roman" w:hAnsi="Arial" w:cs="Arial"/>
                <w:color w:val="000000"/>
                <w:sz w:val="18"/>
                <w:szCs w:val="18"/>
                <w:lang w:val="it-IT" w:eastAsia="en-IE"/>
              </w:rPr>
              <w:t> </w:t>
            </w:r>
          </w:p>
          <w:p w14:paraId="428C54F5" w14:textId="6DA3AD94" w:rsidR="00A04F48" w:rsidRPr="00656794" w:rsidRDefault="00A04F48" w:rsidP="00A04F48">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26</w:t>
            </w:r>
            <w:r w:rsidR="00FD365E"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8</w:t>
            </w:r>
            <w:r w:rsidRPr="00656794">
              <w:rPr>
                <w:rFonts w:ascii="Arial" w:eastAsia="Times New Roman" w:hAnsi="Arial" w:cs="Arial"/>
                <w:color w:val="000000"/>
                <w:sz w:val="18"/>
                <w:szCs w:val="18"/>
                <w:lang w:val="it-IT" w:eastAsia="en-IE"/>
              </w:rPr>
              <w:t> </w:t>
            </w:r>
          </w:p>
          <w:p w14:paraId="1CA41718" w14:textId="7019AEA8" w:rsidR="00A04F48" w:rsidRPr="00656794" w:rsidRDefault="00A04F48" w:rsidP="00A04F48">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280</w:t>
            </w:r>
            <w:r w:rsidR="00FD365E"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9</w:t>
            </w:r>
            <w:r w:rsidRPr="00656794">
              <w:rPr>
                <w:rFonts w:ascii="Arial" w:eastAsia="Times New Roman" w:hAnsi="Arial" w:cs="Arial"/>
                <w:color w:val="000000"/>
                <w:sz w:val="18"/>
                <w:szCs w:val="18"/>
                <w:lang w:val="it-IT" w:eastAsia="en-IE"/>
              </w:rPr>
              <w:t> </w:t>
            </w:r>
          </w:p>
          <w:p w14:paraId="5E16B042" w14:textId="77777777" w:rsidR="00A04F48" w:rsidRPr="00656794" w:rsidRDefault="00A04F48" w:rsidP="00A04F48">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0</w:t>
            </w:r>
            <w:r w:rsidRPr="00656794">
              <w:rPr>
                <w:rFonts w:ascii="Arial" w:eastAsia="Times New Roman" w:hAnsi="Arial" w:cs="Arial"/>
                <w:color w:val="000000"/>
                <w:sz w:val="18"/>
                <w:szCs w:val="18"/>
                <w:lang w:val="it-IT" w:eastAsia="en-IE"/>
              </w:rPr>
              <w:t> </w:t>
            </w:r>
          </w:p>
          <w:p w14:paraId="2774CB30" w14:textId="5A1F8630" w:rsidR="00A04F48" w:rsidRPr="00656794" w:rsidRDefault="00A04F48" w:rsidP="00A04F48">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(180</w:t>
            </w:r>
            <w:r w:rsidR="00FD365E"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9)</w:t>
            </w:r>
          </w:p>
        </w:tc>
      </w:tr>
      <w:tr w:rsidR="00A04F48" w:rsidRPr="00656794" w14:paraId="25AACED2" w14:textId="77777777" w:rsidTr="003800DF">
        <w:trPr>
          <w:trHeight w:val="311"/>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5781D" w14:textId="55B605E4" w:rsidR="00A04F48" w:rsidRPr="00656794" w:rsidRDefault="00A04F48" w:rsidP="00A04F48">
            <w:pPr>
              <w:spacing w:after="0" w:line="240" w:lineRule="auto"/>
              <w:ind w:left="131"/>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SCR </w:t>
            </w:r>
            <w:r w:rsidR="00265FE3" w:rsidRPr="00656794">
              <w:rPr>
                <w:rFonts w:ascii="Arial" w:eastAsia="Times New Roman" w:hAnsi="Arial" w:cs="Arial"/>
                <w:b/>
                <w:bCs/>
                <w:color w:val="000000"/>
                <w:sz w:val="18"/>
                <w:szCs w:val="18"/>
                <w:shd w:val="clear" w:color="auto" w:fill="FFFFFF"/>
                <w:lang w:val="it-IT" w:eastAsia="en-IE"/>
              </w:rPr>
              <w:t>di base</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DB82A" w14:textId="08B5C35C" w:rsidR="00A04F48" w:rsidRPr="00656794" w:rsidRDefault="00A04F48" w:rsidP="00A04F48">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723</w:t>
            </w:r>
            <w:r w:rsidR="00FD365E"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9 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F15FA" w14:textId="67480BB3" w:rsidR="00A04F48" w:rsidRPr="00656794" w:rsidRDefault="00A04F48" w:rsidP="00A04F48">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800</w:t>
            </w:r>
            <w:r w:rsidR="00FD365E"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5</w:t>
            </w:r>
          </w:p>
        </w:tc>
      </w:tr>
    </w:tbl>
    <w:p w14:paraId="69A6B868" w14:textId="200C7A50" w:rsidR="00A04F48" w:rsidRPr="00656794" w:rsidRDefault="00A04F48" w:rsidP="008D3983">
      <w:pPr>
        <w:spacing w:after="0" w:line="240" w:lineRule="auto"/>
        <w:rPr>
          <w:rFonts w:ascii="Times New Roman" w:eastAsia="Times New Roman" w:hAnsi="Times New Roman" w:cs="Times New Roman"/>
          <w:sz w:val="24"/>
          <w:szCs w:val="24"/>
          <w:lang w:val="it-IT" w:eastAsia="en-IE"/>
        </w:rPr>
      </w:pPr>
    </w:p>
    <w:tbl>
      <w:tblPr>
        <w:tblW w:w="0" w:type="auto"/>
        <w:tblCellMar>
          <w:top w:w="15" w:type="dxa"/>
          <w:left w:w="15" w:type="dxa"/>
          <w:bottom w:w="15" w:type="dxa"/>
          <w:right w:w="15" w:type="dxa"/>
        </w:tblCellMar>
        <w:tblLook w:val="04A0" w:firstRow="1" w:lastRow="0" w:firstColumn="1" w:lastColumn="0" w:noHBand="0" w:noVBand="1"/>
      </w:tblPr>
      <w:tblGrid>
        <w:gridCol w:w="4526"/>
        <w:gridCol w:w="2127"/>
        <w:gridCol w:w="2353"/>
      </w:tblGrid>
      <w:tr w:rsidR="00A04F48" w:rsidRPr="00656794" w14:paraId="7018F886" w14:textId="77777777" w:rsidTr="00320531">
        <w:trPr>
          <w:trHeight w:val="1015"/>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EA55A" w14:textId="77777777" w:rsidR="00694C3C" w:rsidRDefault="00265FE3" w:rsidP="00694C3C">
            <w:pPr>
              <w:spacing w:after="0" w:line="240" w:lineRule="auto"/>
              <w:ind w:left="126"/>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lastRenderedPageBreak/>
              <w:t>Rischio operativo</w:t>
            </w:r>
          </w:p>
          <w:p w14:paraId="4531046A" w14:textId="77777777" w:rsidR="00694C3C" w:rsidRDefault="00265FE3" w:rsidP="00694C3C">
            <w:pPr>
              <w:spacing w:after="0" w:line="240" w:lineRule="auto"/>
              <w:ind w:left="126"/>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 xml:space="preserve">Capacità di assorbimento delle perdite delle riserve tecniche </w:t>
            </w:r>
          </w:p>
          <w:p w14:paraId="7F976615" w14:textId="1BC73B0C" w:rsidR="00A04F48" w:rsidRPr="00694C3C" w:rsidRDefault="00265FE3" w:rsidP="00694C3C">
            <w:pPr>
              <w:spacing w:after="0" w:line="240" w:lineRule="auto"/>
              <w:ind w:left="126"/>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Capacità di assorbimento delle perdite delle imposte differite</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875CA" w14:textId="77777777" w:rsidR="00694C3C" w:rsidRDefault="00A04F48" w:rsidP="00694C3C">
            <w:pPr>
              <w:spacing w:after="0" w:line="240" w:lineRule="auto"/>
              <w:jc w:val="center"/>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66</w:t>
            </w:r>
            <w:r w:rsidR="00265FE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1</w:t>
            </w:r>
          </w:p>
          <w:p w14:paraId="267A8921" w14:textId="0483342C" w:rsidR="00694C3C" w:rsidRDefault="00694C3C" w:rsidP="00694C3C">
            <w:pPr>
              <w:spacing w:after="0" w:line="240" w:lineRule="auto"/>
              <w:jc w:val="center"/>
              <w:rPr>
                <w:rFonts w:ascii="Arial" w:eastAsia="Times New Roman" w:hAnsi="Arial" w:cs="Arial"/>
                <w:color w:val="000000"/>
                <w:sz w:val="18"/>
                <w:szCs w:val="18"/>
                <w:lang w:val="it-IT" w:eastAsia="en-IE"/>
              </w:rPr>
            </w:pPr>
            <w:r>
              <w:rPr>
                <w:rFonts w:ascii="Arial" w:eastAsia="Times New Roman" w:hAnsi="Arial" w:cs="Arial"/>
                <w:color w:val="000000"/>
                <w:sz w:val="18"/>
                <w:szCs w:val="18"/>
                <w:lang w:val="it-IT" w:eastAsia="en-IE"/>
              </w:rPr>
              <w:br/>
            </w:r>
            <w:r w:rsidR="00A04F48" w:rsidRPr="00656794">
              <w:rPr>
                <w:rFonts w:ascii="Arial" w:eastAsia="Times New Roman" w:hAnsi="Arial" w:cs="Arial"/>
                <w:color w:val="000000"/>
                <w:sz w:val="18"/>
                <w:szCs w:val="18"/>
                <w:lang w:val="it-IT" w:eastAsia="en-IE"/>
              </w:rPr>
              <w:t>(230</w:t>
            </w:r>
            <w:r w:rsidR="00265FE3" w:rsidRPr="00656794">
              <w:rPr>
                <w:rFonts w:ascii="Arial" w:eastAsia="Times New Roman" w:hAnsi="Arial" w:cs="Arial"/>
                <w:color w:val="000000"/>
                <w:sz w:val="18"/>
                <w:szCs w:val="18"/>
                <w:lang w:val="it-IT" w:eastAsia="en-IE"/>
              </w:rPr>
              <w:t>,</w:t>
            </w:r>
            <w:r w:rsidR="00A04F48" w:rsidRPr="00656794">
              <w:rPr>
                <w:rFonts w:ascii="Arial" w:eastAsia="Times New Roman" w:hAnsi="Arial" w:cs="Arial"/>
                <w:color w:val="000000"/>
                <w:sz w:val="18"/>
                <w:szCs w:val="18"/>
                <w:lang w:val="it-IT" w:eastAsia="en-IE"/>
              </w:rPr>
              <w:t>9</w:t>
            </w:r>
            <w:r>
              <w:rPr>
                <w:rFonts w:ascii="Arial" w:eastAsia="Times New Roman" w:hAnsi="Arial" w:cs="Arial"/>
                <w:color w:val="000000"/>
                <w:sz w:val="18"/>
                <w:szCs w:val="18"/>
                <w:lang w:val="it-IT" w:eastAsia="en-IE"/>
              </w:rPr>
              <w:t>)</w:t>
            </w:r>
          </w:p>
          <w:p w14:paraId="3F92EDF9" w14:textId="38753169" w:rsidR="00A04F48" w:rsidRPr="00694C3C" w:rsidRDefault="00694C3C" w:rsidP="00694C3C">
            <w:pPr>
              <w:spacing w:after="0" w:line="240" w:lineRule="auto"/>
              <w:jc w:val="center"/>
              <w:rPr>
                <w:rFonts w:ascii="Arial" w:eastAsia="Times New Roman" w:hAnsi="Arial" w:cs="Arial"/>
                <w:color w:val="000000"/>
                <w:sz w:val="18"/>
                <w:szCs w:val="18"/>
                <w:lang w:val="it-IT" w:eastAsia="en-IE"/>
              </w:rPr>
            </w:pPr>
            <w:r>
              <w:rPr>
                <w:rFonts w:ascii="Arial" w:eastAsia="Times New Roman" w:hAnsi="Arial" w:cs="Arial"/>
                <w:color w:val="000000"/>
                <w:sz w:val="18"/>
                <w:szCs w:val="18"/>
                <w:lang w:val="it-IT" w:eastAsia="en-IE"/>
              </w:rPr>
              <w:br/>
            </w:r>
            <w:r w:rsidR="00A04F48" w:rsidRPr="00656794">
              <w:rPr>
                <w:rFonts w:ascii="Arial" w:eastAsia="Times New Roman" w:hAnsi="Arial" w:cs="Arial"/>
                <w:color w:val="000000"/>
                <w:sz w:val="18"/>
                <w:szCs w:val="18"/>
                <w:lang w:val="it-IT" w:eastAsia="en-IE"/>
              </w:rPr>
              <w:t>(134</w:t>
            </w:r>
            <w:r w:rsidR="00265FE3" w:rsidRPr="00656794">
              <w:rPr>
                <w:rFonts w:ascii="Arial" w:eastAsia="Times New Roman" w:hAnsi="Arial" w:cs="Arial"/>
                <w:color w:val="000000"/>
                <w:sz w:val="18"/>
                <w:szCs w:val="18"/>
                <w:lang w:val="it-IT" w:eastAsia="en-IE"/>
              </w:rPr>
              <w:t>,</w:t>
            </w:r>
            <w:r w:rsidR="00A04F48" w:rsidRPr="00656794">
              <w:rPr>
                <w:rFonts w:ascii="Arial" w:eastAsia="Times New Roman" w:hAnsi="Arial" w:cs="Arial"/>
                <w:color w:val="000000"/>
                <w:sz w:val="18"/>
                <w:szCs w:val="18"/>
                <w:lang w:val="it-IT" w:eastAsia="en-IE"/>
              </w:rPr>
              <w:t>4)</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4318A" w14:textId="77777777" w:rsidR="00694C3C" w:rsidRDefault="00A04F48" w:rsidP="00694C3C">
            <w:pPr>
              <w:spacing w:after="0" w:line="240" w:lineRule="auto"/>
              <w:jc w:val="center"/>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64</w:t>
            </w:r>
            <w:r w:rsidR="00265FE3"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5</w:t>
            </w:r>
          </w:p>
          <w:p w14:paraId="167C2F03" w14:textId="02F5502E" w:rsidR="00694C3C" w:rsidRDefault="00694C3C" w:rsidP="00694C3C">
            <w:pPr>
              <w:spacing w:after="0" w:line="240" w:lineRule="auto"/>
              <w:jc w:val="center"/>
              <w:rPr>
                <w:rFonts w:ascii="Arial" w:eastAsia="Times New Roman" w:hAnsi="Arial" w:cs="Arial"/>
                <w:color w:val="000000"/>
                <w:sz w:val="18"/>
                <w:szCs w:val="18"/>
                <w:lang w:val="it-IT" w:eastAsia="en-IE"/>
              </w:rPr>
            </w:pPr>
            <w:r>
              <w:rPr>
                <w:rFonts w:ascii="Arial" w:eastAsia="Times New Roman" w:hAnsi="Arial" w:cs="Arial"/>
                <w:color w:val="000000"/>
                <w:sz w:val="18"/>
                <w:szCs w:val="18"/>
                <w:lang w:val="it-IT" w:eastAsia="en-IE"/>
              </w:rPr>
              <w:br/>
            </w:r>
            <w:r w:rsidR="00A04F48" w:rsidRPr="00656794">
              <w:rPr>
                <w:rFonts w:ascii="Arial" w:eastAsia="Times New Roman" w:hAnsi="Arial" w:cs="Arial"/>
                <w:color w:val="000000"/>
                <w:sz w:val="18"/>
                <w:szCs w:val="18"/>
                <w:lang w:val="it-IT" w:eastAsia="en-IE"/>
              </w:rPr>
              <w:t>(289</w:t>
            </w:r>
            <w:r w:rsidR="00265FE3" w:rsidRPr="00656794">
              <w:rPr>
                <w:rFonts w:ascii="Arial" w:eastAsia="Times New Roman" w:hAnsi="Arial" w:cs="Arial"/>
                <w:color w:val="000000"/>
                <w:sz w:val="18"/>
                <w:szCs w:val="18"/>
                <w:lang w:val="it-IT" w:eastAsia="en-IE"/>
              </w:rPr>
              <w:t>,</w:t>
            </w:r>
            <w:r w:rsidR="00A04F48" w:rsidRPr="00656794">
              <w:rPr>
                <w:rFonts w:ascii="Arial" w:eastAsia="Times New Roman" w:hAnsi="Arial" w:cs="Arial"/>
                <w:color w:val="000000"/>
                <w:sz w:val="18"/>
                <w:szCs w:val="18"/>
                <w:lang w:val="it-IT" w:eastAsia="en-IE"/>
              </w:rPr>
              <w:t>3)</w:t>
            </w:r>
          </w:p>
          <w:p w14:paraId="34244FDF" w14:textId="1811AFAF" w:rsidR="00A04F48" w:rsidRPr="00694C3C" w:rsidRDefault="00694C3C" w:rsidP="00694C3C">
            <w:pPr>
              <w:spacing w:after="0" w:line="240" w:lineRule="auto"/>
              <w:jc w:val="center"/>
              <w:rPr>
                <w:rFonts w:ascii="Arial" w:eastAsia="Times New Roman" w:hAnsi="Arial" w:cs="Arial"/>
                <w:color w:val="000000"/>
                <w:sz w:val="18"/>
                <w:szCs w:val="18"/>
                <w:lang w:val="it-IT" w:eastAsia="en-IE"/>
              </w:rPr>
            </w:pPr>
            <w:r>
              <w:rPr>
                <w:rFonts w:ascii="Arial" w:eastAsia="Times New Roman" w:hAnsi="Arial" w:cs="Arial"/>
                <w:color w:val="000000"/>
                <w:sz w:val="18"/>
                <w:szCs w:val="18"/>
                <w:lang w:val="it-IT" w:eastAsia="en-IE"/>
              </w:rPr>
              <w:br/>
            </w:r>
            <w:r w:rsidR="00A04F48" w:rsidRPr="00656794">
              <w:rPr>
                <w:rFonts w:ascii="Arial" w:eastAsia="Times New Roman" w:hAnsi="Arial" w:cs="Arial"/>
                <w:color w:val="000000"/>
                <w:sz w:val="18"/>
                <w:szCs w:val="18"/>
                <w:lang w:val="it-IT" w:eastAsia="en-IE"/>
              </w:rPr>
              <w:t>(138</w:t>
            </w:r>
            <w:r w:rsidR="00265FE3" w:rsidRPr="00656794">
              <w:rPr>
                <w:rFonts w:ascii="Arial" w:eastAsia="Times New Roman" w:hAnsi="Arial" w:cs="Arial"/>
                <w:color w:val="000000"/>
                <w:sz w:val="18"/>
                <w:szCs w:val="18"/>
                <w:lang w:val="it-IT" w:eastAsia="en-IE"/>
              </w:rPr>
              <w:t>,</w:t>
            </w:r>
            <w:r w:rsidR="00A04F48" w:rsidRPr="00656794">
              <w:rPr>
                <w:rFonts w:ascii="Arial" w:eastAsia="Times New Roman" w:hAnsi="Arial" w:cs="Arial"/>
                <w:color w:val="000000"/>
                <w:sz w:val="18"/>
                <w:szCs w:val="18"/>
                <w:lang w:val="it-IT" w:eastAsia="en-IE"/>
              </w:rPr>
              <w:t>2)</w:t>
            </w:r>
          </w:p>
        </w:tc>
      </w:tr>
      <w:tr w:rsidR="00A04F48" w:rsidRPr="00656794" w14:paraId="329D59E3" w14:textId="77777777" w:rsidTr="008D3983">
        <w:trPr>
          <w:trHeight w:val="345"/>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316B5" w14:textId="273E2131" w:rsidR="00A04F48" w:rsidRPr="00656794" w:rsidRDefault="00265FE3" w:rsidP="00A04F48">
            <w:pPr>
              <w:spacing w:after="0" w:line="240" w:lineRule="auto"/>
              <w:ind w:left="124"/>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Requisito patrimoniale di solvibilità</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AD221" w14:textId="45161731" w:rsidR="00A04F48" w:rsidRPr="00656794" w:rsidRDefault="00A04F48" w:rsidP="00A04F48">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lang w:val="it-IT" w:eastAsia="en-IE"/>
              </w:rPr>
              <w:t>424</w:t>
            </w:r>
            <w:r w:rsidR="00265FE3" w:rsidRPr="00656794">
              <w:rPr>
                <w:rFonts w:ascii="Arial" w:eastAsia="Times New Roman" w:hAnsi="Arial" w:cs="Arial"/>
                <w:b/>
                <w:bCs/>
                <w:color w:val="000000"/>
                <w:sz w:val="18"/>
                <w:szCs w:val="18"/>
                <w:lang w:val="it-IT" w:eastAsia="en-IE"/>
              </w:rPr>
              <w:t>,</w:t>
            </w:r>
            <w:r w:rsidRPr="00656794">
              <w:rPr>
                <w:rFonts w:ascii="Arial" w:eastAsia="Times New Roman" w:hAnsi="Arial" w:cs="Arial"/>
                <w:b/>
                <w:bCs/>
                <w:color w:val="000000"/>
                <w:sz w:val="18"/>
                <w:szCs w:val="18"/>
                <w:lang w:val="it-IT" w:eastAsia="en-IE"/>
              </w:rPr>
              <w:t>7 </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C148E" w14:textId="24F7D991" w:rsidR="00A04F48" w:rsidRPr="00656794" w:rsidRDefault="00A04F48" w:rsidP="00A04F48">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lang w:val="it-IT" w:eastAsia="en-IE"/>
              </w:rPr>
              <w:t>437</w:t>
            </w:r>
            <w:r w:rsidR="00265FE3" w:rsidRPr="00656794">
              <w:rPr>
                <w:rFonts w:ascii="Arial" w:eastAsia="Times New Roman" w:hAnsi="Arial" w:cs="Arial"/>
                <w:b/>
                <w:bCs/>
                <w:color w:val="000000"/>
                <w:sz w:val="18"/>
                <w:szCs w:val="18"/>
                <w:lang w:val="it-IT" w:eastAsia="en-IE"/>
              </w:rPr>
              <w:t>,</w:t>
            </w:r>
            <w:r w:rsidRPr="00656794">
              <w:rPr>
                <w:rFonts w:ascii="Arial" w:eastAsia="Times New Roman" w:hAnsi="Arial" w:cs="Arial"/>
                <w:b/>
                <w:bCs/>
                <w:color w:val="000000"/>
                <w:sz w:val="18"/>
                <w:szCs w:val="18"/>
                <w:lang w:val="it-IT" w:eastAsia="en-IE"/>
              </w:rPr>
              <w:t>5</w:t>
            </w:r>
          </w:p>
        </w:tc>
      </w:tr>
    </w:tbl>
    <w:p w14:paraId="0A85D718" w14:textId="7A8DE775" w:rsidR="007B7354" w:rsidRPr="00656794" w:rsidRDefault="007B7354" w:rsidP="007B7354">
      <w:pPr>
        <w:pStyle w:val="NormalWeb"/>
        <w:ind w:right="102"/>
        <w:rPr>
          <w:rFonts w:ascii="Arial" w:hAnsi="Arial" w:cs="Arial"/>
          <w:color w:val="000000"/>
          <w:sz w:val="12"/>
          <w:szCs w:val="12"/>
          <w:shd w:val="clear" w:color="auto" w:fill="FFFFFF"/>
          <w:lang w:val="it-IT"/>
        </w:rPr>
      </w:pPr>
      <w:r w:rsidRPr="00656794">
        <w:rPr>
          <w:rFonts w:ascii="Arial" w:hAnsi="Arial" w:cs="Arial"/>
          <w:color w:val="000000"/>
          <w:sz w:val="12"/>
          <w:szCs w:val="12"/>
          <w:shd w:val="clear" w:color="auto" w:fill="FFFFFF"/>
          <w:lang w:val="it-IT"/>
        </w:rPr>
        <w:t>Fonte: analisi SFCR e ZIL del 2020</w:t>
      </w:r>
      <w:r w:rsidRPr="00656794">
        <w:rPr>
          <w:rFonts w:ascii="Arial" w:hAnsi="Arial" w:cs="Arial"/>
          <w:color w:val="000000"/>
          <w:sz w:val="12"/>
          <w:szCs w:val="12"/>
          <w:shd w:val="clear" w:color="auto" w:fill="FFFFFF"/>
          <w:lang w:val="it-IT"/>
        </w:rPr>
        <w:br/>
        <w:t>Nota: * Le semplificazioni vengono utilizzate per modellare l</w:t>
      </w:r>
      <w:r w:rsidR="00F23A40" w:rsidRPr="00656794">
        <w:rPr>
          <w:rFonts w:ascii="Arial" w:hAnsi="Arial" w:cs="Arial"/>
          <w:color w:val="000000"/>
          <w:sz w:val="12"/>
          <w:szCs w:val="12"/>
          <w:shd w:val="clear" w:color="auto" w:fill="FFFFFF"/>
          <w:lang w:val="it-IT"/>
        </w:rPr>
        <w:t>’</w:t>
      </w:r>
      <w:r w:rsidRPr="00656794">
        <w:rPr>
          <w:rFonts w:ascii="Arial" w:hAnsi="Arial" w:cs="Arial"/>
          <w:color w:val="000000"/>
          <w:sz w:val="12"/>
          <w:szCs w:val="12"/>
          <w:shd w:val="clear" w:color="auto" w:fill="FFFFFF"/>
          <w:lang w:val="it-IT"/>
        </w:rPr>
        <w:t>esposizione ai rischi di infortunio e disabilità all</w:t>
      </w:r>
      <w:r w:rsidR="00F23A40" w:rsidRPr="00656794">
        <w:rPr>
          <w:rFonts w:ascii="Arial" w:hAnsi="Arial" w:cs="Arial"/>
          <w:color w:val="000000"/>
          <w:sz w:val="12"/>
          <w:szCs w:val="12"/>
          <w:shd w:val="clear" w:color="auto" w:fill="FFFFFF"/>
          <w:lang w:val="it-IT"/>
        </w:rPr>
        <w:t>’</w:t>
      </w:r>
      <w:r w:rsidRPr="00656794">
        <w:rPr>
          <w:rFonts w:ascii="Arial" w:hAnsi="Arial" w:cs="Arial"/>
          <w:color w:val="000000"/>
          <w:sz w:val="12"/>
          <w:szCs w:val="12"/>
          <w:shd w:val="clear" w:color="auto" w:fill="FFFFFF"/>
          <w:lang w:val="it-IT"/>
        </w:rPr>
        <w:t>interno del prodotto Assistenza a lungo termine, questo viene catturato all</w:t>
      </w:r>
      <w:r w:rsidR="00F23A40" w:rsidRPr="00656794">
        <w:rPr>
          <w:rFonts w:ascii="Arial" w:hAnsi="Arial" w:cs="Arial"/>
          <w:color w:val="000000"/>
          <w:sz w:val="12"/>
          <w:szCs w:val="12"/>
          <w:shd w:val="clear" w:color="auto" w:fill="FFFFFF"/>
          <w:lang w:val="it-IT"/>
        </w:rPr>
        <w:t>’</w:t>
      </w:r>
      <w:r w:rsidRPr="00656794">
        <w:rPr>
          <w:rFonts w:ascii="Arial" w:hAnsi="Arial" w:cs="Arial"/>
          <w:color w:val="000000"/>
          <w:sz w:val="12"/>
          <w:szCs w:val="12"/>
          <w:shd w:val="clear" w:color="auto" w:fill="FFFFFF"/>
          <w:lang w:val="it-IT"/>
        </w:rPr>
        <w:t>interno del rischio di sottoscrizione Vita di cui sopra</w:t>
      </w:r>
    </w:p>
    <w:p w14:paraId="17381C31" w14:textId="0AABD4E0" w:rsidR="00A04F48" w:rsidRPr="00656794" w:rsidRDefault="00A04F48" w:rsidP="00110CD2">
      <w:pPr>
        <w:pStyle w:val="NormalWeb"/>
        <w:ind w:right="102"/>
        <w:jc w:val="both"/>
        <w:rPr>
          <w:rFonts w:ascii="Arial" w:hAnsi="Arial" w:cs="Arial"/>
          <w:color w:val="000000"/>
          <w:sz w:val="12"/>
          <w:szCs w:val="12"/>
          <w:shd w:val="clear" w:color="auto" w:fill="FFFFFF"/>
          <w:lang w:val="it-IT"/>
        </w:rPr>
      </w:pPr>
      <w:r w:rsidRPr="00656794">
        <w:rPr>
          <w:rFonts w:ascii="Arial" w:hAnsi="Arial" w:cs="Arial"/>
          <w:color w:val="000000"/>
          <w:sz w:val="20"/>
          <w:szCs w:val="20"/>
          <w:lang w:val="it-IT"/>
        </w:rPr>
        <w:t>■ Il rischio di mercato è aumentato in modo significativo nel periodo a causa della maggiore esposizione a stress sui titoli azionari e sui tassi di interesse.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aumento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al rischio azionario è avvenuto a causa della crescita del mercato delle attività azionarie nonché di un aumento dello stress applicato alle azioni attraverso un aumento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aggiustamento simmetrico nel periodo.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aumento dei tassi di interesse nel periodo ha aumentato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al rischio di tasso di interesse; e</w:t>
      </w:r>
    </w:p>
    <w:p w14:paraId="28559A55" w14:textId="232F7C79" w:rsidR="00A04F48" w:rsidRPr="00656794" w:rsidRDefault="00A04F48" w:rsidP="007977B3">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Il rischio di sottoscrizione vita è diminuito principalmente per la diminuzione del rischio di estinzione di massa per effetto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aumento dei tassi di interesse che ha ridotto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a garanzie minime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delle gestioni separate.</w:t>
      </w:r>
    </w:p>
    <w:p w14:paraId="07A9567A" w14:textId="09011373" w:rsidR="00A04F48" w:rsidRPr="00656794" w:rsidRDefault="00A04F48" w:rsidP="00DB4ED1">
      <w:pPr>
        <w:spacing w:before="139"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3.7.2 </w:t>
      </w:r>
      <w:r w:rsidR="007B7354" w:rsidRPr="00656794">
        <w:rPr>
          <w:rFonts w:ascii="Arial" w:eastAsia="Times New Roman" w:hAnsi="Arial" w:cs="Arial"/>
          <w:color w:val="00338D"/>
          <w:sz w:val="24"/>
          <w:szCs w:val="24"/>
          <w:lang w:val="it-IT" w:eastAsia="en-IE"/>
        </w:rPr>
        <w:t>Posizione di solvibilità prevista</w:t>
      </w:r>
    </w:p>
    <w:p w14:paraId="56A87D36" w14:textId="317D5AB1"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Ho preso in considerazione </w:t>
      </w:r>
      <w:r w:rsidR="00D23E73">
        <w:rPr>
          <w:rFonts w:ascii="Arial" w:hAnsi="Arial" w:cs="Arial"/>
          <w:color w:val="000000"/>
          <w:sz w:val="20"/>
          <w:szCs w:val="20"/>
          <w:lang w:val="it-IT"/>
        </w:rPr>
        <w:t>il rapporto ORSA</w:t>
      </w:r>
      <w:r w:rsidRPr="00656794">
        <w:rPr>
          <w:rFonts w:ascii="Arial" w:hAnsi="Arial" w:cs="Arial"/>
          <w:color w:val="000000"/>
          <w:sz w:val="20"/>
          <w:szCs w:val="20"/>
          <w:lang w:val="it-IT"/>
        </w:rPr>
        <w:t xml:space="preserve"> 2020 di ZIL, </w:t>
      </w:r>
      <w:r w:rsidR="007977B3" w:rsidRPr="00656794">
        <w:rPr>
          <w:rFonts w:ascii="Arial" w:hAnsi="Arial" w:cs="Arial"/>
          <w:color w:val="000000"/>
          <w:sz w:val="20"/>
          <w:szCs w:val="20"/>
          <w:lang w:val="it-IT"/>
        </w:rPr>
        <w:t>completat</w:t>
      </w:r>
      <w:r w:rsidR="007977B3">
        <w:rPr>
          <w:rFonts w:ascii="Arial" w:hAnsi="Arial" w:cs="Arial"/>
          <w:color w:val="000000"/>
          <w:sz w:val="20"/>
          <w:szCs w:val="20"/>
          <w:lang w:val="it-IT"/>
        </w:rPr>
        <w:t>a</w:t>
      </w:r>
      <w:r w:rsidR="007977B3"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aprile 2021. Ho anche letto </w:t>
      </w:r>
      <w:r w:rsidR="00D23E73">
        <w:rPr>
          <w:rFonts w:ascii="Arial" w:hAnsi="Arial" w:cs="Arial"/>
          <w:color w:val="000000"/>
          <w:sz w:val="20"/>
          <w:szCs w:val="20"/>
          <w:lang w:val="it-IT"/>
        </w:rPr>
        <w:t>il rapporto</w:t>
      </w:r>
      <w:r w:rsidRPr="00656794">
        <w:rPr>
          <w:rFonts w:ascii="Arial" w:hAnsi="Arial" w:cs="Arial"/>
          <w:color w:val="000000"/>
          <w:sz w:val="20"/>
          <w:szCs w:val="20"/>
          <w:lang w:val="it-IT"/>
        </w:rPr>
        <w:t xml:space="preserve"> ORSA 2019 di ZIL. Non ho riprodotto il dettaglio in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w:t>
      </w:r>
    </w:p>
    <w:p w14:paraId="18D8536A" w14:textId="74FD4A60"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 è parte integrante del sistema di gestione dei rischi di ciascuna società e ha lo scopo di includere una valutazione delle esigenze di solvibilità complessive della società, il rispetto nel continuo dei requisiti patrimoniali Solvency II e la significatività con cui il profilo di rischio d</w:t>
      </w:r>
      <w:r w:rsidR="007B7354" w:rsidRPr="00656794">
        <w:rPr>
          <w:rFonts w:ascii="Arial" w:hAnsi="Arial" w:cs="Arial"/>
          <w:color w:val="000000"/>
          <w:sz w:val="20"/>
          <w:szCs w:val="20"/>
          <w:lang w:val="it-IT"/>
        </w:rPr>
        <w:t>ell</w:t>
      </w:r>
      <w:r w:rsidRPr="00656794">
        <w:rPr>
          <w:rFonts w:ascii="Arial" w:hAnsi="Arial" w:cs="Arial"/>
          <w:color w:val="000000"/>
          <w:sz w:val="20"/>
          <w:szCs w:val="20"/>
          <w:lang w:val="it-IT"/>
        </w:rPr>
        <w:t>a società differisce dalle assunzioni alla base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 dovrebbe essere parte integrante della strategia aziendale e dovrebbe essere presa in considerazione su base continuativa nelle decisioni strategiche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azienda.</w:t>
      </w:r>
    </w:p>
    <w:p w14:paraId="3E04D855" w14:textId="45FBE56C"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 è utile ai fini della comprensione dei rischi insiti nel business e della stabilità nel tempo della posizione patrimoniale Solvency II. Le proiezioni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ORSA si basano su uno scenario centrale su un orizzonte temporale di tre anni in linea con il </w:t>
      </w:r>
      <w:r w:rsidR="007977B3">
        <w:rPr>
          <w:rFonts w:ascii="Arial" w:hAnsi="Arial" w:cs="Arial"/>
          <w:color w:val="000000"/>
          <w:sz w:val="20"/>
          <w:szCs w:val="20"/>
          <w:lang w:val="it-IT"/>
        </w:rPr>
        <w:t>piano</w:t>
      </w:r>
      <w:r w:rsidRPr="00656794">
        <w:rPr>
          <w:rFonts w:ascii="Arial" w:hAnsi="Arial" w:cs="Arial"/>
          <w:color w:val="000000"/>
          <w:sz w:val="20"/>
          <w:szCs w:val="20"/>
          <w:lang w:val="it-IT"/>
        </w:rPr>
        <w:t xml:space="preserve"> strategico della società e incorporano le azioni gestite approvate dal Consiglio. Lo stress e gli scenari utilizzati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 includono stress attraverso una varietà di rischi di mercato, nuovi volumi di affari e combinazioni di stress di mercato. ZIL esegue anche una serie di scenari di back testing. Il dettaglio della calibrazione di ogni stress eseguito non viene catturato nel</w:t>
      </w:r>
      <w:r w:rsidR="007B7354" w:rsidRPr="00656794">
        <w:rPr>
          <w:rFonts w:ascii="Arial" w:hAnsi="Arial" w:cs="Arial"/>
          <w:color w:val="000000"/>
          <w:sz w:val="20"/>
          <w:szCs w:val="20"/>
          <w:lang w:val="it-IT"/>
        </w:rPr>
        <w:t>la mia</w:t>
      </w:r>
      <w:r w:rsidRPr="00656794">
        <w:rPr>
          <w:rFonts w:ascii="Arial" w:hAnsi="Arial" w:cs="Arial"/>
          <w:color w:val="000000"/>
          <w:sz w:val="20"/>
          <w:szCs w:val="20"/>
          <w:lang w:val="it-IT"/>
        </w:rPr>
        <w:t xml:space="preserve"> </w:t>
      </w:r>
      <w:r w:rsidR="00BF27A6" w:rsidRPr="00656794">
        <w:rPr>
          <w:rFonts w:ascii="Arial" w:hAnsi="Arial" w:cs="Arial"/>
          <w:color w:val="000000"/>
          <w:sz w:val="20"/>
          <w:szCs w:val="20"/>
          <w:lang w:val="it-IT"/>
        </w:rPr>
        <w:t>Relazione; tuttavia,</w:t>
      </w:r>
      <w:r w:rsidRPr="00656794">
        <w:rPr>
          <w:rFonts w:ascii="Arial" w:hAnsi="Arial" w:cs="Arial"/>
          <w:color w:val="000000"/>
          <w:sz w:val="20"/>
          <w:szCs w:val="20"/>
          <w:lang w:val="it-IT"/>
        </w:rPr>
        <w:t xml:space="preserve"> i risultati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 illustrano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allineamento tra il </w:t>
      </w:r>
      <w:r w:rsidR="007977B3">
        <w:rPr>
          <w:rFonts w:ascii="Arial" w:hAnsi="Arial" w:cs="Arial"/>
          <w:color w:val="000000"/>
          <w:sz w:val="20"/>
          <w:szCs w:val="20"/>
          <w:lang w:val="it-IT"/>
        </w:rPr>
        <w:t>p</w:t>
      </w:r>
      <w:r w:rsidR="00783326">
        <w:rPr>
          <w:rFonts w:ascii="Arial" w:hAnsi="Arial" w:cs="Arial"/>
          <w:color w:val="000000"/>
          <w:sz w:val="20"/>
          <w:szCs w:val="20"/>
          <w:lang w:val="it-IT"/>
        </w:rPr>
        <w:t>iano aziendale</w:t>
      </w:r>
      <w:r w:rsidRPr="00656794">
        <w:rPr>
          <w:rFonts w:ascii="Arial" w:hAnsi="Arial" w:cs="Arial"/>
          <w:color w:val="000000"/>
          <w:sz w:val="20"/>
          <w:szCs w:val="20"/>
          <w:lang w:val="it-IT"/>
        </w:rPr>
        <w:t xml:space="preserve"> e la strategia di rischio stabilita dal Consiglio. Prendo atto che ZIL mantiene un livello appropriato di copertura della solvibilità in tutti gli anni di proiezione.</w:t>
      </w:r>
    </w:p>
    <w:p w14:paraId="5AEC1203" w14:textId="1760BB2D"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Prendo atto 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 2020 ha considerato anche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del trasferimento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a ZIL. Il dettaglio non viene ripetuto qui, ma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è catturato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analisi del bilancio pro forma nella Sezione 7 della presente Relazione.</w:t>
      </w:r>
    </w:p>
    <w:p w14:paraId="18BF48E6" w14:textId="131D0B14"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Ho anche considerato la gamma di azioni gestionali a disposizione di ZIL come descritto nei rapporti ORSA e le ritengo ragionevoli. Non ho problemi da </w:t>
      </w:r>
      <w:r w:rsidR="007977B3">
        <w:rPr>
          <w:rFonts w:ascii="Arial" w:hAnsi="Arial" w:cs="Arial"/>
          <w:color w:val="000000"/>
          <w:sz w:val="20"/>
          <w:szCs w:val="20"/>
          <w:lang w:val="it-IT"/>
        </w:rPr>
        <w:t>sollevare</w:t>
      </w:r>
      <w:r w:rsidR="007977B3"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dalla mia revisione delle proiezioni ORSA fornite da ZIL.</w:t>
      </w:r>
    </w:p>
    <w:p w14:paraId="48C2F750" w14:textId="21E403B5" w:rsidR="00A04F48" w:rsidRPr="00656794" w:rsidRDefault="00A04F48" w:rsidP="005E61A7">
      <w:pPr>
        <w:spacing w:before="282"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3.8 </w:t>
      </w:r>
      <w:r w:rsidR="007977B3">
        <w:rPr>
          <w:rFonts w:ascii="Arial" w:eastAsia="Times New Roman" w:hAnsi="Arial" w:cs="Arial"/>
          <w:b/>
          <w:bCs/>
          <w:color w:val="00338D"/>
          <w:sz w:val="28"/>
          <w:szCs w:val="28"/>
          <w:lang w:val="it-IT" w:eastAsia="en-IE"/>
        </w:rPr>
        <w:t>Ragionevoli aspettative</w:t>
      </w:r>
      <w:r w:rsidR="00354FE2" w:rsidRPr="00656794">
        <w:rPr>
          <w:rFonts w:ascii="Arial" w:eastAsia="Times New Roman" w:hAnsi="Arial" w:cs="Arial"/>
          <w:b/>
          <w:bCs/>
          <w:color w:val="00338D"/>
          <w:sz w:val="28"/>
          <w:szCs w:val="28"/>
          <w:lang w:val="it-IT" w:eastAsia="en-IE"/>
        </w:rPr>
        <w:t xml:space="preserve"> </w:t>
      </w:r>
      <w:r w:rsidR="00DC30A5">
        <w:rPr>
          <w:rFonts w:ascii="Arial" w:eastAsia="Times New Roman" w:hAnsi="Arial" w:cs="Arial"/>
          <w:b/>
          <w:bCs/>
          <w:color w:val="00338D"/>
          <w:sz w:val="28"/>
          <w:szCs w:val="28"/>
          <w:lang w:val="it-IT" w:eastAsia="en-IE"/>
        </w:rPr>
        <w:t>dei</w:t>
      </w:r>
      <w:r w:rsidR="00DC30A5" w:rsidRPr="00656794">
        <w:rPr>
          <w:rFonts w:ascii="Arial" w:eastAsia="Times New Roman" w:hAnsi="Arial" w:cs="Arial"/>
          <w:b/>
          <w:bCs/>
          <w:color w:val="00338D"/>
          <w:sz w:val="28"/>
          <w:szCs w:val="28"/>
          <w:lang w:val="it-IT" w:eastAsia="en-IE"/>
        </w:rPr>
        <w:t xml:space="preserve"> </w:t>
      </w:r>
      <w:r w:rsidR="00DC30A5">
        <w:rPr>
          <w:rFonts w:ascii="Arial" w:eastAsia="Times New Roman" w:hAnsi="Arial" w:cs="Arial"/>
          <w:b/>
          <w:bCs/>
          <w:color w:val="00338D"/>
          <w:sz w:val="28"/>
          <w:szCs w:val="28"/>
          <w:lang w:val="it-IT" w:eastAsia="en-IE"/>
        </w:rPr>
        <w:t>contraenti</w:t>
      </w:r>
    </w:p>
    <w:p w14:paraId="1C716881" w14:textId="1674ED8D" w:rsidR="00411364" w:rsidRPr="00411364" w:rsidRDefault="00411364" w:rsidP="00411364">
      <w:pPr>
        <w:pStyle w:val="NormalWeb"/>
        <w:ind w:right="102"/>
        <w:jc w:val="both"/>
        <w:rPr>
          <w:rFonts w:ascii="Arial" w:hAnsi="Arial" w:cs="Arial"/>
          <w:color w:val="000000"/>
          <w:sz w:val="20"/>
          <w:szCs w:val="20"/>
          <w:lang w:val="it-IT"/>
        </w:rPr>
      </w:pPr>
      <w:r w:rsidRPr="00411364">
        <w:rPr>
          <w:rFonts w:ascii="Arial" w:hAnsi="Arial" w:cs="Arial"/>
          <w:color w:val="000000"/>
          <w:sz w:val="20"/>
          <w:szCs w:val="20"/>
          <w:lang w:val="it-IT"/>
        </w:rPr>
        <w:t xml:space="preserve">Per gli enti assicurativi sulla vita, sono tenuto a prendere in considerazione le linee guida emesse dalla Society of Actuaries in Irlanda in merito alle aspettative ragionevoli </w:t>
      </w:r>
      <w:r w:rsidR="00DC30A5">
        <w:rPr>
          <w:rFonts w:ascii="Arial" w:hAnsi="Arial" w:cs="Arial"/>
          <w:color w:val="000000"/>
          <w:sz w:val="20"/>
          <w:szCs w:val="20"/>
          <w:lang w:val="it-IT"/>
        </w:rPr>
        <w:t>dei</w:t>
      </w:r>
      <w:r w:rsidR="00DC30A5" w:rsidRPr="0041136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411364">
        <w:rPr>
          <w:rFonts w:ascii="Arial" w:hAnsi="Arial" w:cs="Arial"/>
          <w:color w:val="000000"/>
          <w:sz w:val="20"/>
          <w:szCs w:val="20"/>
          <w:lang w:val="it-IT"/>
        </w:rPr>
        <w:t xml:space="preserve"> (</w:t>
      </w:r>
      <w:r>
        <w:rPr>
          <w:rFonts w:ascii="Arial" w:hAnsi="Arial" w:cs="Arial"/>
          <w:color w:val="000000"/>
          <w:sz w:val="20"/>
          <w:szCs w:val="20"/>
          <w:lang w:val="it-IT"/>
        </w:rPr>
        <w:t>“</w:t>
      </w:r>
      <w:r w:rsidRPr="00411364">
        <w:rPr>
          <w:rFonts w:ascii="Arial" w:hAnsi="Arial" w:cs="Arial"/>
          <w:color w:val="000000"/>
          <w:sz w:val="20"/>
          <w:szCs w:val="20"/>
          <w:lang w:val="it-IT"/>
        </w:rPr>
        <w:t>PRE</w:t>
      </w:r>
      <w:r>
        <w:rPr>
          <w:rFonts w:ascii="Arial" w:hAnsi="Arial" w:cs="Arial"/>
          <w:color w:val="000000"/>
          <w:sz w:val="20"/>
          <w:szCs w:val="20"/>
          <w:lang w:val="it-IT"/>
        </w:rPr>
        <w:t>”</w:t>
      </w:r>
      <w:r w:rsidRPr="00411364">
        <w:rPr>
          <w:rFonts w:ascii="Arial" w:hAnsi="Arial" w:cs="Arial"/>
          <w:color w:val="000000"/>
          <w:sz w:val="20"/>
          <w:szCs w:val="20"/>
          <w:lang w:val="it-IT"/>
        </w:rPr>
        <w:t xml:space="preserve">). ASP LA-6 </w:t>
      </w:r>
      <w:r w:rsidRPr="00411364">
        <w:rPr>
          <w:rFonts w:ascii="Arial" w:hAnsi="Arial" w:cs="Arial"/>
          <w:color w:val="000000"/>
          <w:sz w:val="20"/>
          <w:szCs w:val="20"/>
          <w:lang w:val="it-IT"/>
        </w:rPr>
        <w:lastRenderedPageBreak/>
        <w:t>(</w:t>
      </w:r>
      <w:r>
        <w:rPr>
          <w:rFonts w:ascii="Arial" w:hAnsi="Arial" w:cs="Arial"/>
          <w:color w:val="000000"/>
          <w:sz w:val="20"/>
          <w:szCs w:val="20"/>
          <w:lang w:val="it-IT"/>
        </w:rPr>
        <w:t>“</w:t>
      </w:r>
      <w:r w:rsidRPr="00411364">
        <w:rPr>
          <w:rFonts w:ascii="Arial" w:hAnsi="Arial" w:cs="Arial"/>
          <w:color w:val="000000"/>
          <w:sz w:val="20"/>
          <w:szCs w:val="20"/>
          <w:lang w:val="it-IT"/>
        </w:rPr>
        <w:t>Trasferimento di attività a lungo termine di una compagnia assicurativa autorizzata – Ruolo dell'attuario indipendente</w:t>
      </w:r>
      <w:r>
        <w:rPr>
          <w:rFonts w:ascii="Arial" w:hAnsi="Arial" w:cs="Arial"/>
          <w:color w:val="000000"/>
          <w:sz w:val="20"/>
          <w:szCs w:val="20"/>
          <w:lang w:val="it-IT"/>
        </w:rPr>
        <w:t>”</w:t>
      </w:r>
      <w:r w:rsidRPr="00411364">
        <w:rPr>
          <w:rFonts w:ascii="Arial" w:hAnsi="Arial" w:cs="Arial"/>
          <w:color w:val="000000"/>
          <w:sz w:val="20"/>
          <w:szCs w:val="20"/>
          <w:lang w:val="it-IT"/>
        </w:rPr>
        <w:t>) espone le voci da considerare al riguardo.</w:t>
      </w:r>
    </w:p>
    <w:p w14:paraId="45C2EACA" w14:textId="77777777" w:rsidR="00411364" w:rsidRPr="00411364" w:rsidRDefault="00411364" w:rsidP="00411364">
      <w:pPr>
        <w:pStyle w:val="NormalWeb"/>
        <w:ind w:right="102"/>
        <w:jc w:val="both"/>
        <w:rPr>
          <w:rFonts w:ascii="Arial" w:hAnsi="Arial" w:cs="Arial"/>
          <w:color w:val="000000"/>
          <w:sz w:val="20"/>
          <w:szCs w:val="20"/>
          <w:lang w:val="it-IT"/>
        </w:rPr>
      </w:pPr>
      <w:r w:rsidRPr="00411364">
        <w:rPr>
          <w:rFonts w:ascii="Arial" w:hAnsi="Arial" w:cs="Arial"/>
          <w:color w:val="000000"/>
          <w:sz w:val="20"/>
          <w:szCs w:val="20"/>
          <w:lang w:val="it-IT"/>
        </w:rPr>
        <w:t>Prendo atto che l'IVASS non richiede alla HoAF di considerare PRE.</w:t>
      </w:r>
    </w:p>
    <w:p w14:paraId="23D72144" w14:textId="77777777" w:rsidR="00411364" w:rsidRDefault="00411364" w:rsidP="00411364">
      <w:pPr>
        <w:pStyle w:val="NormalWeb"/>
        <w:ind w:right="102"/>
        <w:jc w:val="both"/>
        <w:rPr>
          <w:rFonts w:ascii="Arial" w:hAnsi="Arial" w:cs="Arial"/>
          <w:color w:val="000000"/>
          <w:sz w:val="20"/>
          <w:szCs w:val="20"/>
          <w:lang w:val="it-IT"/>
        </w:rPr>
      </w:pPr>
      <w:r w:rsidRPr="00411364">
        <w:rPr>
          <w:rFonts w:ascii="Arial" w:hAnsi="Arial" w:cs="Arial"/>
          <w:color w:val="000000"/>
          <w:sz w:val="20"/>
          <w:szCs w:val="20"/>
          <w:lang w:val="it-IT"/>
        </w:rPr>
        <w:t xml:space="preserve">Ho catturato l'approccio di ZLAP a PRE nella Sezione 4 e ho esposto nella Sezione 8 le implicazioni per ZIL. </w:t>
      </w:r>
    </w:p>
    <w:p w14:paraId="4479439F" w14:textId="19E79F9D" w:rsidR="00411364" w:rsidRPr="00110CD2" w:rsidRDefault="00411364" w:rsidP="00110CD2">
      <w:pPr>
        <w:spacing w:before="282" w:after="0" w:line="240" w:lineRule="auto"/>
        <w:rPr>
          <w:rFonts w:ascii="Times New Roman" w:hAnsi="Times New Roman" w:cs="Times New Roman"/>
          <w:sz w:val="24"/>
          <w:szCs w:val="24"/>
          <w:lang w:val="it-IT"/>
        </w:rPr>
      </w:pPr>
      <w:r w:rsidRPr="00656794">
        <w:rPr>
          <w:rFonts w:ascii="Arial" w:eastAsia="Times New Roman" w:hAnsi="Arial" w:cs="Arial"/>
          <w:b/>
          <w:bCs/>
          <w:color w:val="00338D"/>
          <w:sz w:val="28"/>
          <w:szCs w:val="28"/>
          <w:lang w:val="it-IT" w:eastAsia="en-IE"/>
        </w:rPr>
        <w:t>3.</w:t>
      </w:r>
      <w:r>
        <w:rPr>
          <w:rFonts w:ascii="Arial" w:eastAsia="Times New Roman" w:hAnsi="Arial" w:cs="Arial"/>
          <w:b/>
          <w:bCs/>
          <w:color w:val="00338D"/>
          <w:sz w:val="28"/>
          <w:szCs w:val="28"/>
          <w:lang w:val="it-IT" w:eastAsia="en-IE"/>
        </w:rPr>
        <w:t>9</w:t>
      </w:r>
      <w:r w:rsidRPr="00656794">
        <w:rPr>
          <w:rFonts w:ascii="Arial" w:eastAsia="Times New Roman" w:hAnsi="Arial" w:cs="Arial"/>
          <w:b/>
          <w:bCs/>
          <w:color w:val="00338D"/>
          <w:sz w:val="28"/>
          <w:szCs w:val="28"/>
          <w:lang w:val="it-IT" w:eastAsia="en-IE"/>
        </w:rPr>
        <w:t xml:space="preserve"> </w:t>
      </w:r>
      <w:r>
        <w:rPr>
          <w:rFonts w:ascii="Arial" w:eastAsia="Times New Roman" w:hAnsi="Arial" w:cs="Arial"/>
          <w:b/>
          <w:bCs/>
          <w:color w:val="00338D"/>
          <w:sz w:val="28"/>
          <w:szCs w:val="28"/>
          <w:lang w:val="it-IT" w:eastAsia="en-IE"/>
        </w:rPr>
        <w:t>Reclami e con</w:t>
      </w:r>
      <w:r w:rsidR="008E5B1C">
        <w:rPr>
          <w:rFonts w:ascii="Arial" w:eastAsia="Times New Roman" w:hAnsi="Arial" w:cs="Arial"/>
          <w:b/>
          <w:bCs/>
          <w:color w:val="00338D"/>
          <w:sz w:val="28"/>
          <w:szCs w:val="28"/>
          <w:lang w:val="it-IT" w:eastAsia="en-IE"/>
        </w:rPr>
        <w:t>tenziosi</w:t>
      </w:r>
    </w:p>
    <w:p w14:paraId="61A173AF" w14:textId="42DC0745" w:rsidR="00A04F48" w:rsidRPr="00656794" w:rsidRDefault="00A04F48" w:rsidP="00411364">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ZIL dispone di un processo formale per la gestione dei reclami in linea con i requisiti normativi stabiliti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molto focalizzato sulla tutela del cliente. ZIL, inoltre, aderisce al Codice del Consumo italiano (D.</w:t>
      </w:r>
      <w:r w:rsidR="00D7069D"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Lgs. 6 settembre 2005, n. 206). ZIL si impegna a rispondere a tutti i reclami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entro un determinato periodo di tempo.</w:t>
      </w:r>
    </w:p>
    <w:p w14:paraId="09DFE56E" w14:textId="78EE0983"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Ho discusso del</w:t>
      </w:r>
      <w:r w:rsidR="00411364">
        <w:rPr>
          <w:rFonts w:ascii="Arial" w:hAnsi="Arial" w:cs="Arial"/>
          <w:color w:val="000000"/>
          <w:sz w:val="20"/>
          <w:szCs w:val="20"/>
          <w:lang w:val="it-IT"/>
        </w:rPr>
        <w:t>la</w:t>
      </w:r>
      <w:r w:rsidRPr="00656794">
        <w:rPr>
          <w:rFonts w:ascii="Arial" w:hAnsi="Arial" w:cs="Arial"/>
          <w:color w:val="000000"/>
          <w:sz w:val="20"/>
          <w:szCs w:val="20"/>
          <w:lang w:val="it-IT"/>
        </w:rPr>
        <w:t xml:space="preserve"> dashboard dei reclami con la Compliance, che monitora il livello dei reclami su base mensile e tiene traccia di informazioni quali tipo di reclamo, fonte del reclamo e tendenze nei reclami. In relazione ai reclami aperti, capisco che nessuno dovrebbe generare costi notevoli né creare un precedente. I reclami sembrano essere normali problemi come al solito in linea con ciò che avremmo visto altrove. Il risarcimento pagato su base annua a seguito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accettazione 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accettazione parziale dei reclami non è rilevante,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ordine di poche migliaia di euro </w:t>
      </w:r>
      <w:r w:rsidR="002F11B4">
        <w:rPr>
          <w:rFonts w:ascii="Arial" w:hAnsi="Arial" w:cs="Arial"/>
          <w:color w:val="000000"/>
          <w:sz w:val="20"/>
          <w:szCs w:val="20"/>
          <w:lang w:val="it-IT"/>
        </w:rPr>
        <w:t>all’</w:t>
      </w:r>
      <w:r w:rsidR="00BC54AE">
        <w:rPr>
          <w:rFonts w:ascii="Arial" w:hAnsi="Arial" w:cs="Arial"/>
          <w:color w:val="000000"/>
          <w:sz w:val="20"/>
          <w:szCs w:val="20"/>
          <w:lang w:val="it-IT"/>
        </w:rPr>
        <w:t>anno</w:t>
      </w:r>
      <w:r w:rsidRPr="00656794">
        <w:rPr>
          <w:rFonts w:ascii="Arial" w:hAnsi="Arial" w:cs="Arial"/>
          <w:color w:val="000000"/>
          <w:sz w:val="20"/>
          <w:szCs w:val="20"/>
          <w:lang w:val="it-IT"/>
        </w:rPr>
        <w:t>. In genere i reclami non vengono trasformati in contenzioso. Sono stato informato che attualmente ZIL non ha questioni legali sostanziali in sospeso.</w:t>
      </w:r>
    </w:p>
    <w:p w14:paraId="5B0F0E1D" w14:textId="345C1A07"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Non sono stati rilevati problemi materiali.</w:t>
      </w:r>
    </w:p>
    <w:p w14:paraId="6F73CBC3" w14:textId="440BC293" w:rsidR="00A04F48" w:rsidRPr="00656794" w:rsidRDefault="00A04F48" w:rsidP="005E61A7">
      <w:pPr>
        <w:spacing w:before="272"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3.10 </w:t>
      </w:r>
      <w:r w:rsidR="00D7069D" w:rsidRPr="00656794">
        <w:rPr>
          <w:rFonts w:ascii="Arial" w:eastAsia="Times New Roman" w:hAnsi="Arial" w:cs="Arial"/>
          <w:b/>
          <w:bCs/>
          <w:color w:val="00338D"/>
          <w:sz w:val="28"/>
          <w:szCs w:val="28"/>
          <w:lang w:val="it-IT" w:eastAsia="en-IE"/>
        </w:rPr>
        <w:t>Altre questioni regolamentari</w:t>
      </w:r>
      <w:r w:rsidRPr="00656794">
        <w:rPr>
          <w:rFonts w:ascii="Arial" w:eastAsia="Times New Roman" w:hAnsi="Arial" w:cs="Arial"/>
          <w:b/>
          <w:bCs/>
          <w:color w:val="00338D"/>
          <w:sz w:val="28"/>
          <w:szCs w:val="28"/>
          <w:lang w:val="it-IT" w:eastAsia="en-IE"/>
        </w:rPr>
        <w:t> </w:t>
      </w:r>
    </w:p>
    <w:p w14:paraId="485CF98A" w14:textId="53CC5CBD" w:rsidR="00A04F48" w:rsidRPr="00656794" w:rsidRDefault="00A04F48" w:rsidP="00DB4ED1">
      <w:pPr>
        <w:spacing w:before="138"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3.10.1</w:t>
      </w:r>
      <w:r w:rsidR="004A599B" w:rsidRPr="00656794">
        <w:rPr>
          <w:rFonts w:ascii="Arial" w:eastAsia="Times New Roman" w:hAnsi="Arial" w:cs="Arial"/>
          <w:color w:val="00338D"/>
          <w:sz w:val="24"/>
          <w:szCs w:val="24"/>
          <w:lang w:val="it-IT" w:eastAsia="en-IE"/>
        </w:rPr>
        <w:t xml:space="preserve"> Questioni</w:t>
      </w:r>
      <w:r w:rsidRPr="00656794">
        <w:rPr>
          <w:rFonts w:ascii="Arial" w:eastAsia="Times New Roman" w:hAnsi="Arial" w:cs="Arial"/>
          <w:color w:val="00338D"/>
          <w:sz w:val="24"/>
          <w:szCs w:val="24"/>
          <w:lang w:val="it-IT" w:eastAsia="en-IE"/>
        </w:rPr>
        <w:t xml:space="preserve"> IVASS </w:t>
      </w:r>
    </w:p>
    <w:p w14:paraId="24F0AC39" w14:textId="21BD5408"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Ho ricevuto un elenco di corrispondenza recente che ZIL ha avuto con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Un</w:t>
      </w:r>
      <w:r w:rsidR="001672A4">
        <w:rPr>
          <w:rFonts w:ascii="Arial" w:hAnsi="Arial" w:cs="Arial"/>
          <w:color w:val="000000"/>
          <w:sz w:val="20"/>
          <w:szCs w:val="20"/>
          <w:lang w:val="it-IT"/>
        </w:rPr>
        <w:t xml:space="preserve">’area di particolare importanza </w:t>
      </w:r>
      <w:r w:rsidRPr="00656794">
        <w:rPr>
          <w:rFonts w:ascii="Arial" w:hAnsi="Arial" w:cs="Arial"/>
          <w:color w:val="000000"/>
          <w:sz w:val="20"/>
          <w:szCs w:val="20"/>
          <w:lang w:val="it-IT"/>
        </w:rPr>
        <w:t xml:space="preserve">è </w:t>
      </w:r>
      <w:r w:rsidR="00DB5090" w:rsidRPr="00656794">
        <w:rPr>
          <w:rFonts w:ascii="Arial" w:hAnsi="Arial" w:cs="Arial"/>
          <w:color w:val="000000"/>
          <w:sz w:val="20"/>
          <w:szCs w:val="20"/>
          <w:lang w:val="it-IT"/>
        </w:rPr>
        <w:t>stat</w:t>
      </w:r>
      <w:r w:rsidR="00DB5090">
        <w:rPr>
          <w:rFonts w:ascii="Arial" w:hAnsi="Arial" w:cs="Arial"/>
          <w:color w:val="000000"/>
          <w:sz w:val="20"/>
          <w:szCs w:val="20"/>
          <w:lang w:val="it-IT"/>
        </w:rPr>
        <w:t>a</w:t>
      </w:r>
      <w:r w:rsidR="00DB5090"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ispezione antiriciclaggio svolta nel 2018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della </w:t>
      </w:r>
      <w:r w:rsidR="005A3D91">
        <w:rPr>
          <w:rFonts w:ascii="Arial" w:hAnsi="Arial" w:cs="Arial"/>
          <w:color w:val="000000"/>
          <w:sz w:val="20"/>
          <w:szCs w:val="20"/>
          <w:lang w:val="it-IT"/>
        </w:rPr>
        <w:t>branch</w:t>
      </w:r>
      <w:r w:rsidRPr="00656794">
        <w:rPr>
          <w:rFonts w:ascii="Arial" w:hAnsi="Arial" w:cs="Arial"/>
          <w:color w:val="000000"/>
          <w:sz w:val="20"/>
          <w:szCs w:val="20"/>
          <w:lang w:val="it-IT"/>
        </w:rPr>
        <w:t xml:space="preserve"> ZLAP 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di ZIL.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ispezione si è concentrata sulla governance e sui processi in materia di antiriciclaggio.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ha individuato alcune aree di miglioramento dei processi e dei controlli in entrambe le entità. In data 30 aprile 2021 è stata inviata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una segnalazione in merito agli adempimenti antiriciclaggio delineati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IVASS. Comprendo che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 xml:space="preserve"> risponde ai requisiti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w:t>
      </w:r>
    </w:p>
    <w:p w14:paraId="400BD95A" w14:textId="217F49D2"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Altra corrispondenza con IVASS è relativa alle ispezioni Solvency II effettuate nel 2017 e 2019, eventuali criticità rilevate sono state affrontate e risolte da ZIL </w:t>
      </w:r>
      <w:r w:rsidR="001672A4">
        <w:rPr>
          <w:rFonts w:ascii="Arial" w:hAnsi="Arial" w:cs="Arial"/>
          <w:color w:val="000000"/>
          <w:sz w:val="20"/>
          <w:szCs w:val="20"/>
          <w:lang w:val="it-IT"/>
        </w:rPr>
        <w:t>tramite un piano</w:t>
      </w:r>
      <w:r w:rsidRPr="00656794">
        <w:rPr>
          <w:rFonts w:ascii="Arial" w:hAnsi="Arial" w:cs="Arial"/>
          <w:color w:val="000000"/>
          <w:sz w:val="20"/>
          <w:szCs w:val="20"/>
          <w:lang w:val="it-IT"/>
        </w:rPr>
        <w:t xml:space="preserve"> di bonifica. La posizione di solvibilità di ZIL e la completa attuazione del </w:t>
      </w:r>
      <w:r w:rsidR="001672A4">
        <w:rPr>
          <w:rFonts w:ascii="Arial" w:hAnsi="Arial" w:cs="Arial"/>
          <w:color w:val="000000"/>
          <w:sz w:val="20"/>
          <w:szCs w:val="20"/>
          <w:lang w:val="it-IT"/>
        </w:rPr>
        <w:t>piano</w:t>
      </w:r>
      <w:r w:rsidRPr="00656794">
        <w:rPr>
          <w:rFonts w:ascii="Arial" w:hAnsi="Arial" w:cs="Arial"/>
          <w:color w:val="000000"/>
          <w:sz w:val="20"/>
          <w:szCs w:val="20"/>
          <w:lang w:val="it-IT"/>
        </w:rPr>
        <w:t xml:space="preserve"> di bonifica di ZIL sono stati oggetto di ulteriore corrispondenza con IVASS nel 2020 e nel 2021. Non sono state sollevate questioni di rilievo da parte di IVASS.</w:t>
      </w:r>
    </w:p>
    <w:p w14:paraId="4C5F5D7A" w14:textId="3E9CDEBF"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Prendo atto che la COVIP, la Commissione di vigilanza sui fondi pensione in Italia, ha avviato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ispezione sulle questioni relative ai fondi pensione sospesa nel 2020 a causa della pandemia di Covid-19. Il sopralluogo è </w:t>
      </w:r>
      <w:r w:rsidR="008F0D83">
        <w:rPr>
          <w:rFonts w:ascii="Arial" w:hAnsi="Arial" w:cs="Arial"/>
          <w:color w:val="000000"/>
          <w:sz w:val="20"/>
          <w:szCs w:val="20"/>
          <w:lang w:val="it-IT"/>
        </w:rPr>
        <w:t xml:space="preserve">stato </w:t>
      </w:r>
      <w:r w:rsidRPr="00656794">
        <w:rPr>
          <w:rFonts w:ascii="Arial" w:hAnsi="Arial" w:cs="Arial"/>
          <w:color w:val="000000"/>
          <w:sz w:val="20"/>
          <w:szCs w:val="20"/>
          <w:lang w:val="it-IT"/>
        </w:rPr>
        <w:t>ripreso il 9 giugno 2021. La fase ispettiva in loco si è conclusa il 29 luglio 2021 e COVIP sta attualmente esaminando la documentazione ricevuta. ZIL è in attesa di ricevere formale comunicazione da parte della COVIP della conclusione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iter ispettivo.</w:t>
      </w:r>
    </w:p>
    <w:p w14:paraId="4FD039DF" w14:textId="3BBEA2EC" w:rsidR="00A04F48" w:rsidRPr="00656794" w:rsidRDefault="00A04F48" w:rsidP="005E61A7">
      <w:pPr>
        <w:spacing w:before="143" w:after="0" w:line="240" w:lineRule="auto"/>
        <w:rPr>
          <w:rFonts w:ascii="Arial" w:eastAsia="Times New Roman" w:hAnsi="Arial" w:cs="Arial"/>
          <w:color w:val="00338D"/>
          <w:sz w:val="24"/>
          <w:szCs w:val="24"/>
          <w:lang w:val="it-IT" w:eastAsia="en-IE"/>
        </w:rPr>
      </w:pPr>
      <w:r w:rsidRPr="00656794">
        <w:rPr>
          <w:rFonts w:ascii="Arial" w:eastAsia="Times New Roman" w:hAnsi="Arial" w:cs="Arial"/>
          <w:color w:val="00338D"/>
          <w:sz w:val="24"/>
          <w:szCs w:val="24"/>
          <w:lang w:val="it-IT" w:eastAsia="en-IE"/>
        </w:rPr>
        <w:t xml:space="preserve">3.10.2 </w:t>
      </w:r>
      <w:r w:rsidR="004A599B" w:rsidRPr="00656794">
        <w:rPr>
          <w:rFonts w:ascii="Arial" w:eastAsia="Times New Roman" w:hAnsi="Arial" w:cs="Arial"/>
          <w:color w:val="00338D"/>
          <w:sz w:val="24"/>
          <w:szCs w:val="24"/>
          <w:lang w:val="it-IT" w:eastAsia="en-IE"/>
        </w:rPr>
        <w:t>Schemi di compensazione</w:t>
      </w:r>
    </w:p>
    <w:p w14:paraId="4D08ABA6" w14:textId="0C4C8918" w:rsidR="00A04F48" w:rsidRPr="00656794" w:rsidRDefault="00A04F48" w:rsidP="00A04F48">
      <w:pPr>
        <w:spacing w:before="143" w:after="0" w:line="240" w:lineRule="auto"/>
        <w:rPr>
          <w:rFonts w:ascii="Arial" w:eastAsia="Times New Roman" w:hAnsi="Arial" w:cs="Arial"/>
          <w:sz w:val="20"/>
          <w:szCs w:val="20"/>
          <w:lang w:val="it-IT" w:eastAsia="en-IE"/>
        </w:rPr>
      </w:pPr>
      <w:r w:rsidRPr="00656794">
        <w:rPr>
          <w:rFonts w:ascii="Arial" w:eastAsia="Times New Roman" w:hAnsi="Arial" w:cs="Arial"/>
          <w:sz w:val="20"/>
          <w:szCs w:val="20"/>
          <w:lang w:val="it-IT" w:eastAsia="en-IE"/>
        </w:rPr>
        <w:t xml:space="preserve">In Italia non esistono regimi di compensazione specifici a livello di settore per </w:t>
      </w:r>
      <w:r w:rsidR="00DC30A5">
        <w:rPr>
          <w:rFonts w:ascii="Arial" w:eastAsia="Times New Roman" w:hAnsi="Arial" w:cs="Arial"/>
          <w:sz w:val="20"/>
          <w:szCs w:val="20"/>
          <w:lang w:val="it-IT" w:eastAsia="en-IE"/>
        </w:rPr>
        <w:t>i</w:t>
      </w:r>
      <w:r w:rsidR="00DC30A5" w:rsidRPr="00656794">
        <w:rPr>
          <w:rFonts w:ascii="Arial" w:eastAsia="Times New Roman" w:hAnsi="Arial" w:cs="Arial"/>
          <w:sz w:val="20"/>
          <w:szCs w:val="20"/>
          <w:lang w:val="it-IT" w:eastAsia="en-IE"/>
        </w:rPr>
        <w:t xml:space="preserve"> </w:t>
      </w:r>
      <w:r w:rsidR="00DC30A5">
        <w:rPr>
          <w:rFonts w:ascii="Arial" w:eastAsia="Times New Roman" w:hAnsi="Arial" w:cs="Arial"/>
          <w:sz w:val="20"/>
          <w:szCs w:val="20"/>
          <w:lang w:val="it-IT" w:eastAsia="en-IE"/>
        </w:rPr>
        <w:t>contraenti</w:t>
      </w:r>
      <w:r w:rsidRPr="00656794">
        <w:rPr>
          <w:rFonts w:ascii="Arial" w:eastAsia="Times New Roman" w:hAnsi="Arial" w:cs="Arial"/>
          <w:sz w:val="20"/>
          <w:szCs w:val="20"/>
          <w:lang w:val="it-IT" w:eastAsia="en-IE"/>
        </w:rPr>
        <w:t>.</w:t>
      </w:r>
    </w:p>
    <w:p w14:paraId="6963AC7C" w14:textId="1432CDF6" w:rsidR="00A04F48" w:rsidRPr="00656794" w:rsidRDefault="00A04F48" w:rsidP="005E61A7">
      <w:pPr>
        <w:spacing w:before="145" w:after="0" w:line="240" w:lineRule="auto"/>
        <w:rPr>
          <w:rFonts w:ascii="Arial" w:eastAsia="Times New Roman" w:hAnsi="Arial" w:cs="Arial"/>
          <w:color w:val="00338D"/>
          <w:sz w:val="24"/>
          <w:szCs w:val="24"/>
          <w:lang w:val="it-IT" w:eastAsia="en-IE"/>
        </w:rPr>
      </w:pPr>
      <w:r w:rsidRPr="00656794">
        <w:rPr>
          <w:rFonts w:ascii="Arial" w:eastAsia="Times New Roman" w:hAnsi="Arial" w:cs="Arial"/>
          <w:color w:val="00338D"/>
          <w:sz w:val="24"/>
          <w:szCs w:val="24"/>
          <w:lang w:val="it-IT" w:eastAsia="en-IE"/>
        </w:rPr>
        <w:t>3.10.3 Brexit </w:t>
      </w:r>
    </w:p>
    <w:p w14:paraId="2315FAF3" w14:textId="77777777" w:rsidR="00A04F48" w:rsidRPr="00656794" w:rsidRDefault="00A04F48" w:rsidP="00A04F48">
      <w:pPr>
        <w:spacing w:before="145" w:after="0" w:line="240" w:lineRule="auto"/>
        <w:rPr>
          <w:rFonts w:ascii="Arial" w:eastAsia="Times New Roman" w:hAnsi="Arial" w:cs="Arial"/>
          <w:sz w:val="20"/>
          <w:szCs w:val="20"/>
          <w:lang w:val="it-IT" w:eastAsia="en-IE"/>
        </w:rPr>
      </w:pPr>
      <w:r w:rsidRPr="00656794">
        <w:rPr>
          <w:rFonts w:ascii="Arial" w:eastAsia="Times New Roman" w:hAnsi="Arial" w:cs="Arial"/>
          <w:sz w:val="20"/>
          <w:szCs w:val="20"/>
          <w:lang w:val="it-IT" w:eastAsia="en-IE"/>
        </w:rPr>
        <w:lastRenderedPageBreak/>
        <w:t>ZIL non sottoscrive alcuna attività nel Regno Unito e non ha esposizioni verso controparti del Regno Unito diverse dalle esposizioni interne del Gruppo, che rimangono inalterate e quindi non sono state direttamente influenzate dalla Brexit.</w:t>
      </w:r>
    </w:p>
    <w:p w14:paraId="7C1404F8" w14:textId="1D490543" w:rsidR="00A04F48" w:rsidRPr="00656794" w:rsidRDefault="00A04F48" w:rsidP="00A04F48">
      <w:pPr>
        <w:spacing w:before="145" w:after="0" w:line="240" w:lineRule="auto"/>
        <w:rPr>
          <w:rFonts w:ascii="Arial" w:eastAsia="Times New Roman" w:hAnsi="Arial" w:cs="Arial"/>
          <w:sz w:val="20"/>
          <w:szCs w:val="20"/>
          <w:lang w:val="it-IT" w:eastAsia="en-IE"/>
        </w:rPr>
      </w:pPr>
      <w:r w:rsidRPr="00656794">
        <w:rPr>
          <w:rFonts w:ascii="Arial" w:eastAsia="Times New Roman" w:hAnsi="Arial" w:cs="Arial"/>
          <w:sz w:val="20"/>
          <w:szCs w:val="20"/>
          <w:lang w:val="it-IT" w:eastAsia="en-IE"/>
        </w:rPr>
        <w:t>Non sono a conoscenza di altre questioni normative.</w:t>
      </w:r>
    </w:p>
    <w:p w14:paraId="449BEADE" w14:textId="155B8BAC" w:rsidR="00A04F48" w:rsidRPr="00656794" w:rsidRDefault="00A04F48">
      <w:pPr>
        <w:rPr>
          <w:rFonts w:ascii="Arial" w:eastAsia="Times New Roman" w:hAnsi="Arial" w:cs="Arial"/>
          <w:color w:val="000000"/>
          <w:sz w:val="20"/>
          <w:szCs w:val="20"/>
          <w:lang w:val="it-IT" w:eastAsia="en-IE"/>
        </w:rPr>
      </w:pPr>
      <w:r w:rsidRPr="00656794">
        <w:rPr>
          <w:rFonts w:ascii="Arial" w:hAnsi="Arial" w:cs="Arial"/>
          <w:color w:val="000000"/>
          <w:sz w:val="20"/>
          <w:szCs w:val="20"/>
          <w:lang w:val="it-IT"/>
        </w:rPr>
        <w:br w:type="page"/>
      </w:r>
    </w:p>
    <w:p w14:paraId="5A5F5D10" w14:textId="77777777" w:rsidR="00A04F48" w:rsidRPr="00656794" w:rsidRDefault="00A04F48" w:rsidP="005E61A7">
      <w:pPr>
        <w:spacing w:before="473"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56"/>
          <w:szCs w:val="56"/>
          <w:lang w:val="it-IT" w:eastAsia="en-IE"/>
        </w:rPr>
        <w:lastRenderedPageBreak/>
        <w:t>4 Zurich Life Assurance plc </w:t>
      </w:r>
    </w:p>
    <w:p w14:paraId="178213F8" w14:textId="6F7694E5" w:rsidR="00A04F48" w:rsidRPr="00656794" w:rsidRDefault="00A04F48" w:rsidP="005E61A7">
      <w:pPr>
        <w:spacing w:before="509"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4.1 </w:t>
      </w:r>
      <w:r w:rsidR="004A599B" w:rsidRPr="00656794">
        <w:rPr>
          <w:rFonts w:ascii="Arial" w:eastAsia="Times New Roman" w:hAnsi="Arial" w:cs="Arial"/>
          <w:b/>
          <w:bCs/>
          <w:color w:val="00338D"/>
          <w:sz w:val="28"/>
          <w:szCs w:val="28"/>
          <w:lang w:val="it-IT" w:eastAsia="en-IE"/>
        </w:rPr>
        <w:t>Panoramica</w:t>
      </w:r>
    </w:p>
    <w:p w14:paraId="07F9A8ED" w14:textId="2B3FB350"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ZLAP è stata fondata nel 1977 ed è uno dei maggiori </w:t>
      </w:r>
      <w:r w:rsidR="008A0967">
        <w:rPr>
          <w:rFonts w:ascii="Arial" w:hAnsi="Arial" w:cs="Arial"/>
          <w:color w:val="000000"/>
          <w:sz w:val="20"/>
          <w:szCs w:val="20"/>
          <w:lang w:val="it-IT"/>
        </w:rPr>
        <w:t>player assicurativi nel comparto vita</w:t>
      </w:r>
      <w:r w:rsidRPr="00656794">
        <w:rPr>
          <w:rFonts w:ascii="Arial" w:hAnsi="Arial" w:cs="Arial"/>
          <w:color w:val="000000"/>
          <w:sz w:val="20"/>
          <w:szCs w:val="20"/>
          <w:lang w:val="it-IT"/>
        </w:rPr>
        <w:t xml:space="preserve"> in Irlanda. ZLAP è registrata in Irlanda con il numero di società 58098 ed è regolamentata dalla CBI.</w:t>
      </w:r>
    </w:p>
    <w:p w14:paraId="0FD25202" w14:textId="4B4F1542"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ZLAP è autorizzata a svolgere attività di assicurazione sulla vita </w:t>
      </w:r>
      <w:r w:rsidR="00CB4C9C">
        <w:rPr>
          <w:rFonts w:ascii="Arial" w:hAnsi="Arial" w:cs="Arial"/>
          <w:color w:val="000000"/>
          <w:sz w:val="20"/>
          <w:szCs w:val="20"/>
          <w:lang w:val="it-IT"/>
        </w:rPr>
        <w:t>nei Rami</w:t>
      </w:r>
      <w:r w:rsidRPr="00656794">
        <w:rPr>
          <w:rFonts w:ascii="Arial" w:hAnsi="Arial" w:cs="Arial"/>
          <w:color w:val="000000"/>
          <w:sz w:val="20"/>
          <w:szCs w:val="20"/>
          <w:lang w:val="it-IT"/>
        </w:rPr>
        <w:t xml:space="preserve"> I, II, III, IV, VI e VII. Investimenti, protezione, pensioni e rendite sono le sue principali linee di business in Irlanda. ZLAP ha una </w:t>
      </w:r>
      <w:r w:rsidR="005A3D91">
        <w:rPr>
          <w:rFonts w:ascii="Arial" w:hAnsi="Arial" w:cs="Arial"/>
          <w:color w:val="000000"/>
          <w:sz w:val="20"/>
          <w:szCs w:val="20"/>
          <w:lang w:val="it-IT"/>
        </w:rPr>
        <w:t>branch</w:t>
      </w:r>
      <w:r w:rsidRPr="00656794">
        <w:rPr>
          <w:rFonts w:ascii="Arial" w:hAnsi="Arial" w:cs="Arial"/>
          <w:color w:val="000000"/>
          <w:sz w:val="20"/>
          <w:szCs w:val="20"/>
          <w:lang w:val="it-IT"/>
        </w:rPr>
        <w:t xml:space="preserve"> in Italia attraverso la quale sottoscrive attività assicurative sulla vita in piena libertà di stabilimento. ZLAP ha anche stipulato attività di assicurazione sulla vita in Germania, Svezia, Spagna, Regno Unito e Italia in regime di </w:t>
      </w:r>
      <w:r w:rsidR="00AC4CF1">
        <w:rPr>
          <w:rFonts w:ascii="Arial" w:hAnsi="Arial" w:cs="Arial"/>
          <w:color w:val="000000"/>
          <w:sz w:val="20"/>
          <w:szCs w:val="20"/>
          <w:lang w:val="it-IT"/>
        </w:rPr>
        <w:t>libera prestazione di</w:t>
      </w:r>
      <w:r w:rsidRPr="00656794">
        <w:rPr>
          <w:rFonts w:ascii="Arial" w:hAnsi="Arial" w:cs="Arial"/>
          <w:color w:val="000000"/>
          <w:sz w:val="20"/>
          <w:szCs w:val="20"/>
          <w:lang w:val="it-IT"/>
        </w:rPr>
        <w:t xml:space="preserve"> servizi. Le attività </w:t>
      </w:r>
      <w:r w:rsidR="005A3D91">
        <w:rPr>
          <w:rFonts w:ascii="Arial" w:hAnsi="Arial" w:cs="Arial"/>
          <w:color w:val="000000"/>
          <w:sz w:val="20"/>
          <w:szCs w:val="20"/>
          <w:lang w:val="it-IT"/>
        </w:rPr>
        <w:t>sotto</w:t>
      </w:r>
      <w:r w:rsidRPr="00656794">
        <w:rPr>
          <w:rFonts w:ascii="Arial" w:hAnsi="Arial" w:cs="Arial"/>
          <w:color w:val="000000"/>
          <w:sz w:val="20"/>
          <w:szCs w:val="20"/>
          <w:lang w:val="it-IT"/>
        </w:rPr>
        <w:t xml:space="preserve">scritte in queste giurisdizioni sulla base della libertà di servizi sono, ad eccezione della Germania, chiuse o </w:t>
      </w:r>
      <w:r w:rsidR="005A3D91">
        <w:rPr>
          <w:rFonts w:ascii="Arial" w:hAnsi="Arial" w:cs="Arial"/>
          <w:color w:val="000000"/>
          <w:sz w:val="20"/>
          <w:szCs w:val="20"/>
          <w:lang w:val="it-IT"/>
        </w:rPr>
        <w:t>in procinto di chiusura</w:t>
      </w:r>
      <w:r w:rsidRPr="00656794">
        <w:rPr>
          <w:rFonts w:ascii="Arial" w:hAnsi="Arial" w:cs="Arial"/>
          <w:color w:val="000000"/>
          <w:sz w:val="20"/>
          <w:szCs w:val="20"/>
          <w:lang w:val="it-IT"/>
        </w:rPr>
        <w:t>. Alla fine del 2020, ZLAP aveva un patrimonio totale in gestione superiore a 26 miliardi di euro.</w:t>
      </w:r>
    </w:p>
    <w:p w14:paraId="12A0DC43" w14:textId="77777777"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ZLAP fa parte di Zurich Insurance Group Limited, una compagnia assicurativa multinazionale con sede a Zurigo, Svizzera. Zurich Insurance Group Limited è la società madre di ZLAP.</w:t>
      </w:r>
    </w:p>
    <w:p w14:paraId="402EBF65" w14:textId="77777777"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ZLAP ha partecipazioni in due società controllate, entrambe costituite in Irlanda; ZLAP detiene il 100% di proprietà di Zurich Trustee Services Limited, che a sua volta detiene il 50% di proprietà di Zurich Pension Trustee Ireland Limited.</w:t>
      </w:r>
    </w:p>
    <w:p w14:paraId="7409FF07" w14:textId="08047FD8"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Una panoramica di alto livello della struttura aziendale di ZLAP è fornita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immagine seguente:</w:t>
      </w:r>
    </w:p>
    <w:p w14:paraId="7D478E0E" w14:textId="4F822C24" w:rsidR="003E34FA" w:rsidRPr="00CB4C9C" w:rsidRDefault="003E34FA" w:rsidP="000A6E2A">
      <w:pPr>
        <w:pStyle w:val="NormalWeb"/>
        <w:ind w:right="102"/>
        <w:jc w:val="center"/>
        <w:rPr>
          <w:rFonts w:ascii="Arial" w:hAnsi="Arial" w:cs="Arial"/>
          <w:b/>
          <w:bCs/>
          <w:color w:val="000000"/>
          <w:sz w:val="16"/>
          <w:szCs w:val="16"/>
        </w:rPr>
      </w:pPr>
      <w:r w:rsidRPr="00CB4C9C">
        <w:rPr>
          <w:rFonts w:ascii="Arial" w:hAnsi="Arial" w:cs="Arial"/>
          <w:b/>
          <w:bCs/>
          <w:color w:val="000000"/>
          <w:sz w:val="16"/>
          <w:szCs w:val="16"/>
          <w:shd w:val="clear" w:color="auto" w:fill="D9E2F3" w:themeFill="accent1" w:themeFillTint="33"/>
        </w:rPr>
        <w:t>Zurich Insurance Group</w:t>
      </w:r>
      <w:r w:rsidR="00A04F48" w:rsidRPr="00CB4C9C">
        <w:rPr>
          <w:rFonts w:ascii="Arial" w:hAnsi="Arial" w:cs="Arial"/>
          <w:b/>
          <w:bCs/>
          <w:color w:val="000000"/>
          <w:sz w:val="16"/>
          <w:szCs w:val="16"/>
          <w:shd w:val="clear" w:color="auto" w:fill="D9E2F3" w:themeFill="accent1" w:themeFillTint="33"/>
        </w:rPr>
        <w:t xml:space="preserve"> Ltd </w:t>
      </w:r>
      <w:r w:rsidRPr="00CB4C9C">
        <w:rPr>
          <w:rFonts w:ascii="Arial" w:hAnsi="Arial" w:cs="Arial"/>
          <w:b/>
          <w:bCs/>
          <w:color w:val="000000"/>
          <w:sz w:val="16"/>
          <w:szCs w:val="16"/>
          <w:shd w:val="clear" w:color="auto" w:fill="D9E2F3" w:themeFill="accent1" w:themeFillTint="33"/>
        </w:rPr>
        <w:br/>
      </w:r>
      <w:r w:rsidR="00A04F48" w:rsidRPr="00CB4C9C">
        <w:rPr>
          <w:rFonts w:ascii="Arial" w:hAnsi="Arial" w:cs="Arial"/>
          <w:b/>
          <w:bCs/>
          <w:color w:val="000000"/>
          <w:sz w:val="16"/>
          <w:szCs w:val="16"/>
          <w:shd w:val="clear" w:color="auto" w:fill="D9E2F3" w:themeFill="accent1" w:themeFillTint="33"/>
        </w:rPr>
        <w:t>(S</w:t>
      </w:r>
      <w:r w:rsidRPr="00CB4C9C">
        <w:rPr>
          <w:rFonts w:ascii="Arial" w:hAnsi="Arial" w:cs="Arial"/>
          <w:b/>
          <w:bCs/>
          <w:color w:val="000000"/>
          <w:sz w:val="16"/>
          <w:szCs w:val="16"/>
          <w:shd w:val="clear" w:color="auto" w:fill="D9E2F3" w:themeFill="accent1" w:themeFillTint="33"/>
        </w:rPr>
        <w:t>vizzera</w:t>
      </w:r>
      <w:r w:rsidR="00A04F48" w:rsidRPr="00CB4C9C">
        <w:rPr>
          <w:rFonts w:ascii="Arial" w:hAnsi="Arial" w:cs="Arial"/>
          <w:b/>
          <w:bCs/>
          <w:color w:val="000000"/>
          <w:sz w:val="16"/>
          <w:szCs w:val="16"/>
        </w:rPr>
        <w:t>)</w:t>
      </w:r>
    </w:p>
    <w:p w14:paraId="31FA37D5" w14:textId="77777777" w:rsidR="000A6E2A" w:rsidRPr="00CB4C9C" w:rsidRDefault="00A04F48" w:rsidP="000A6E2A">
      <w:pPr>
        <w:pStyle w:val="NormalWeb"/>
        <w:ind w:right="102"/>
        <w:jc w:val="center"/>
        <w:rPr>
          <w:rFonts w:ascii="Arial" w:hAnsi="Arial" w:cs="Arial"/>
          <w:b/>
          <w:bCs/>
          <w:color w:val="000000"/>
          <w:sz w:val="16"/>
          <w:szCs w:val="16"/>
        </w:rPr>
      </w:pPr>
      <w:r w:rsidRPr="00CB4C9C">
        <w:rPr>
          <w:rFonts w:ascii="Arial" w:hAnsi="Arial" w:cs="Arial"/>
          <w:b/>
          <w:bCs/>
          <w:color w:val="000000"/>
          <w:sz w:val="16"/>
          <w:szCs w:val="16"/>
          <w:shd w:val="clear" w:color="auto" w:fill="D9E2F3" w:themeFill="accent1" w:themeFillTint="33"/>
        </w:rPr>
        <w:t>Zurich Insurance Company Ltd </w:t>
      </w:r>
      <w:r w:rsidR="003E34FA" w:rsidRPr="00CB4C9C">
        <w:rPr>
          <w:rFonts w:ascii="Arial" w:hAnsi="Arial" w:cs="Arial"/>
          <w:b/>
          <w:bCs/>
          <w:color w:val="000000"/>
          <w:sz w:val="16"/>
          <w:szCs w:val="16"/>
          <w:shd w:val="clear" w:color="auto" w:fill="D9E2F3" w:themeFill="accent1" w:themeFillTint="33"/>
        </w:rPr>
        <w:br/>
        <w:t>(Svizzera</w:t>
      </w:r>
      <w:r w:rsidR="003E34FA" w:rsidRPr="00CB4C9C">
        <w:rPr>
          <w:rFonts w:ascii="Arial" w:hAnsi="Arial" w:cs="Arial"/>
          <w:b/>
          <w:bCs/>
          <w:color w:val="000000"/>
          <w:sz w:val="16"/>
          <w:szCs w:val="16"/>
        </w:rPr>
        <w:t>) </w:t>
      </w:r>
      <w:r w:rsidR="000A6E2A" w:rsidRPr="00CB4C9C">
        <w:rPr>
          <w:rFonts w:ascii="Arial" w:hAnsi="Arial" w:cs="Arial"/>
          <w:b/>
          <w:bCs/>
          <w:color w:val="000000"/>
          <w:sz w:val="16"/>
          <w:szCs w:val="16"/>
        </w:rPr>
        <w:br/>
      </w:r>
      <w:r w:rsidR="003E34FA" w:rsidRPr="00CB4C9C">
        <w:rPr>
          <w:rFonts w:ascii="Arial" w:hAnsi="Arial" w:cs="Arial"/>
          <w:b/>
          <w:bCs/>
          <w:color w:val="000000"/>
          <w:sz w:val="16"/>
          <w:szCs w:val="16"/>
        </w:rPr>
        <w:br/>
      </w:r>
      <w:r w:rsidRPr="00CB4C9C">
        <w:rPr>
          <w:rFonts w:ascii="Arial" w:hAnsi="Arial" w:cs="Arial"/>
          <w:b/>
          <w:bCs/>
          <w:color w:val="000000"/>
          <w:sz w:val="16"/>
          <w:szCs w:val="16"/>
          <w:shd w:val="clear" w:color="auto" w:fill="D9E2F3" w:themeFill="accent1" w:themeFillTint="33"/>
        </w:rPr>
        <w:t>Zurich Holding Ireland Limited</w:t>
      </w:r>
      <w:r w:rsidRPr="00CB4C9C">
        <w:rPr>
          <w:rFonts w:ascii="Arial" w:hAnsi="Arial" w:cs="Arial"/>
          <w:b/>
          <w:bCs/>
          <w:color w:val="000000"/>
          <w:sz w:val="16"/>
          <w:szCs w:val="16"/>
        </w:rPr>
        <w:t> </w:t>
      </w:r>
    </w:p>
    <w:p w14:paraId="4E6CA23A" w14:textId="0F790D27" w:rsidR="00A04F48" w:rsidRPr="00CB4C9C" w:rsidRDefault="000A6E2A" w:rsidP="000A6E2A">
      <w:pPr>
        <w:pStyle w:val="NormalWeb"/>
        <w:ind w:right="102"/>
        <w:jc w:val="center"/>
        <w:rPr>
          <w:rFonts w:ascii="Arial" w:hAnsi="Arial" w:cs="Arial"/>
          <w:color w:val="000000"/>
          <w:sz w:val="20"/>
          <w:szCs w:val="20"/>
        </w:rPr>
      </w:pPr>
      <w:r w:rsidRPr="00CB4C9C">
        <w:rPr>
          <w:rFonts w:ascii="Arial" w:hAnsi="Arial" w:cs="Arial"/>
          <w:b/>
          <w:bCs/>
          <w:color w:val="000000"/>
          <w:sz w:val="16"/>
          <w:szCs w:val="16"/>
        </w:rPr>
        <w:br/>
      </w:r>
      <w:r w:rsidR="00A04F48" w:rsidRPr="00CB4C9C">
        <w:rPr>
          <w:rFonts w:ascii="Arial" w:hAnsi="Arial" w:cs="Arial"/>
          <w:b/>
          <w:bCs/>
          <w:color w:val="000000"/>
          <w:sz w:val="16"/>
          <w:szCs w:val="16"/>
          <w:shd w:val="clear" w:color="auto" w:fill="FFC000"/>
        </w:rPr>
        <w:t>Zurich Life Assurance plc</w:t>
      </w:r>
    </w:p>
    <w:p w14:paraId="53E671F2" w14:textId="77777777" w:rsidR="000A6E2A" w:rsidRPr="00CB4C9C" w:rsidRDefault="000A6E2A" w:rsidP="000A6E2A">
      <w:pPr>
        <w:spacing w:before="45" w:after="0" w:line="240" w:lineRule="auto"/>
        <w:ind w:left="2160" w:right="1217" w:firstLine="720"/>
        <w:rPr>
          <w:rFonts w:ascii="Arial" w:eastAsia="Times New Roman" w:hAnsi="Arial" w:cs="Arial"/>
          <w:b/>
          <w:bCs/>
          <w:color w:val="000000"/>
          <w:sz w:val="16"/>
          <w:szCs w:val="16"/>
          <w:lang w:eastAsia="en-IE"/>
        </w:rPr>
      </w:pPr>
    </w:p>
    <w:p w14:paraId="03AAEE3C" w14:textId="4AAE3817" w:rsidR="000A6E2A" w:rsidRPr="00CB4C9C" w:rsidRDefault="00A04F48" w:rsidP="000A6E2A">
      <w:pPr>
        <w:spacing w:before="45" w:after="0" w:line="240" w:lineRule="auto"/>
        <w:ind w:left="2160" w:right="1217" w:firstLine="720"/>
        <w:rPr>
          <w:rFonts w:ascii="Arial" w:eastAsia="Times New Roman" w:hAnsi="Arial" w:cs="Arial"/>
          <w:b/>
          <w:bCs/>
          <w:color w:val="000000"/>
          <w:sz w:val="16"/>
          <w:szCs w:val="16"/>
          <w:lang w:eastAsia="en-IE"/>
        </w:rPr>
      </w:pPr>
      <w:r w:rsidRPr="00CB4C9C">
        <w:rPr>
          <w:rFonts w:ascii="Arial" w:eastAsia="Times New Roman" w:hAnsi="Arial" w:cs="Arial"/>
          <w:b/>
          <w:bCs/>
          <w:color w:val="000000"/>
          <w:sz w:val="16"/>
          <w:szCs w:val="16"/>
          <w:shd w:val="clear" w:color="auto" w:fill="D0CECE" w:themeFill="background2" w:themeFillShade="E6"/>
          <w:lang w:eastAsia="en-IE"/>
        </w:rPr>
        <w:t>Italian Branch</w:t>
      </w:r>
      <w:r w:rsidRPr="00CB4C9C">
        <w:rPr>
          <w:rFonts w:ascii="Arial" w:eastAsia="Times New Roman" w:hAnsi="Arial" w:cs="Arial"/>
          <w:b/>
          <w:bCs/>
          <w:color w:val="000000"/>
          <w:sz w:val="16"/>
          <w:szCs w:val="16"/>
          <w:lang w:eastAsia="en-IE"/>
        </w:rPr>
        <w:t xml:space="preserve"> </w:t>
      </w:r>
      <w:r w:rsidR="000A6E2A" w:rsidRPr="00CB4C9C">
        <w:rPr>
          <w:rFonts w:ascii="Arial" w:eastAsia="Times New Roman" w:hAnsi="Arial" w:cs="Arial"/>
          <w:b/>
          <w:bCs/>
          <w:color w:val="000000"/>
          <w:sz w:val="16"/>
          <w:szCs w:val="16"/>
          <w:lang w:eastAsia="en-IE"/>
        </w:rPr>
        <w:tab/>
      </w:r>
      <w:r w:rsidR="000A6E2A" w:rsidRPr="00CB4C9C">
        <w:rPr>
          <w:rFonts w:ascii="Arial" w:eastAsia="Times New Roman" w:hAnsi="Arial" w:cs="Arial"/>
          <w:b/>
          <w:bCs/>
          <w:color w:val="000000"/>
          <w:sz w:val="16"/>
          <w:szCs w:val="16"/>
          <w:lang w:eastAsia="en-IE"/>
        </w:rPr>
        <w:tab/>
      </w:r>
      <w:r w:rsidRPr="00CB4C9C">
        <w:rPr>
          <w:rFonts w:ascii="Arial" w:eastAsia="Times New Roman" w:hAnsi="Arial" w:cs="Arial"/>
          <w:b/>
          <w:bCs/>
          <w:color w:val="000000"/>
          <w:sz w:val="16"/>
          <w:szCs w:val="16"/>
          <w:shd w:val="clear" w:color="auto" w:fill="C5E0B3" w:themeFill="accent6" w:themeFillTint="66"/>
          <w:lang w:eastAsia="en-IE"/>
        </w:rPr>
        <w:t>Zurich Trustee Service Limited</w:t>
      </w:r>
      <w:r w:rsidRPr="00CB4C9C">
        <w:rPr>
          <w:rFonts w:ascii="Arial" w:eastAsia="Times New Roman" w:hAnsi="Arial" w:cs="Arial"/>
          <w:b/>
          <w:bCs/>
          <w:color w:val="000000"/>
          <w:sz w:val="16"/>
          <w:szCs w:val="16"/>
          <w:lang w:eastAsia="en-IE"/>
        </w:rPr>
        <w:t xml:space="preserve"> </w:t>
      </w:r>
      <w:r w:rsidR="000A6E2A" w:rsidRPr="00CB4C9C">
        <w:rPr>
          <w:rFonts w:ascii="Arial" w:eastAsia="Times New Roman" w:hAnsi="Arial" w:cs="Arial"/>
          <w:b/>
          <w:bCs/>
          <w:color w:val="000000"/>
          <w:sz w:val="16"/>
          <w:szCs w:val="16"/>
          <w:lang w:eastAsia="en-IE"/>
        </w:rPr>
        <w:br/>
      </w:r>
    </w:p>
    <w:p w14:paraId="3898680F" w14:textId="66193BF2" w:rsidR="00A04F48" w:rsidRPr="00656794" w:rsidRDefault="00A04F48" w:rsidP="00096836">
      <w:pPr>
        <w:shd w:val="clear" w:color="auto" w:fill="C5E0B3" w:themeFill="accent6" w:themeFillTint="66"/>
        <w:spacing w:before="45" w:after="0" w:line="240" w:lineRule="auto"/>
        <w:ind w:left="5040" w:right="1217"/>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6"/>
          <w:szCs w:val="16"/>
          <w:lang w:val="it-IT" w:eastAsia="en-IE"/>
        </w:rPr>
        <w:t>Zurich Pension Trustees Ireland</w:t>
      </w:r>
      <w:r w:rsidR="000A6E2A" w:rsidRPr="00656794">
        <w:rPr>
          <w:rFonts w:ascii="Arial" w:eastAsia="Times New Roman" w:hAnsi="Arial" w:cs="Arial"/>
          <w:b/>
          <w:bCs/>
          <w:color w:val="000000"/>
          <w:sz w:val="16"/>
          <w:szCs w:val="16"/>
          <w:lang w:val="it-IT" w:eastAsia="en-IE"/>
        </w:rPr>
        <w:t xml:space="preserve"> </w:t>
      </w:r>
      <w:r w:rsidRPr="00656794">
        <w:rPr>
          <w:rFonts w:ascii="Arial" w:eastAsia="Times New Roman" w:hAnsi="Arial" w:cs="Arial"/>
          <w:b/>
          <w:bCs/>
          <w:color w:val="000000"/>
          <w:sz w:val="16"/>
          <w:szCs w:val="16"/>
          <w:lang w:val="it-IT" w:eastAsia="en-IE"/>
        </w:rPr>
        <w:t>Limited</w:t>
      </w:r>
    </w:p>
    <w:p w14:paraId="085A0C5C" w14:textId="3DF720A5"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Come notato in precedenza, è solo un piccolo sottoinsieme del portafoglio complessivo di attività di ZLAP che si sta trasferendo a ZIL come parte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proposto (circa il 7% delle riserve tecniche lorde del 31 dicembre 2020). Nella parte restante della sezione 4 della Relazione, commenterò le operazioni di ZLAP in generale ed evidenzierò eventuali problemi o differenze specifici applicabili al portafoglio in trasferimento.</w:t>
      </w:r>
    </w:p>
    <w:p w14:paraId="1E5F481A" w14:textId="67321679" w:rsidR="00A04F48" w:rsidRPr="00656794" w:rsidRDefault="00A04F48" w:rsidP="008674EA">
      <w:pPr>
        <w:spacing w:before="491"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4.2 Natur</w:t>
      </w:r>
      <w:r w:rsidR="00463686" w:rsidRPr="00656794">
        <w:rPr>
          <w:rFonts w:ascii="Arial" w:eastAsia="Times New Roman" w:hAnsi="Arial" w:cs="Arial"/>
          <w:b/>
          <w:bCs/>
          <w:color w:val="00338D"/>
          <w:sz w:val="28"/>
          <w:szCs w:val="28"/>
          <w:lang w:val="it-IT" w:eastAsia="en-IE"/>
        </w:rPr>
        <w:t>a dell</w:t>
      </w:r>
      <w:r w:rsidR="00F23A40" w:rsidRPr="00656794">
        <w:rPr>
          <w:rFonts w:ascii="Arial" w:eastAsia="Times New Roman" w:hAnsi="Arial" w:cs="Arial"/>
          <w:b/>
          <w:bCs/>
          <w:color w:val="00338D"/>
          <w:sz w:val="28"/>
          <w:szCs w:val="28"/>
          <w:lang w:val="it-IT" w:eastAsia="en-IE"/>
        </w:rPr>
        <w:t>’</w:t>
      </w:r>
      <w:r w:rsidR="00463686" w:rsidRPr="00656794">
        <w:rPr>
          <w:rFonts w:ascii="Arial" w:eastAsia="Times New Roman" w:hAnsi="Arial" w:cs="Arial"/>
          <w:b/>
          <w:bCs/>
          <w:color w:val="00338D"/>
          <w:sz w:val="28"/>
          <w:szCs w:val="28"/>
          <w:lang w:val="it-IT" w:eastAsia="en-IE"/>
        </w:rPr>
        <w:t xml:space="preserve">attività </w:t>
      </w:r>
      <w:r w:rsidR="0080440B">
        <w:rPr>
          <w:rFonts w:ascii="Arial" w:eastAsia="Times New Roman" w:hAnsi="Arial" w:cs="Arial"/>
          <w:b/>
          <w:bCs/>
          <w:color w:val="00338D"/>
          <w:sz w:val="28"/>
          <w:szCs w:val="28"/>
          <w:lang w:val="it-IT" w:eastAsia="en-IE"/>
        </w:rPr>
        <w:t>sotto</w:t>
      </w:r>
      <w:r w:rsidR="00463686" w:rsidRPr="00656794">
        <w:rPr>
          <w:rFonts w:ascii="Arial" w:eastAsia="Times New Roman" w:hAnsi="Arial" w:cs="Arial"/>
          <w:b/>
          <w:bCs/>
          <w:color w:val="00338D"/>
          <w:sz w:val="28"/>
          <w:szCs w:val="28"/>
          <w:lang w:val="it-IT" w:eastAsia="en-IE"/>
        </w:rPr>
        <w:t>scritta</w:t>
      </w:r>
    </w:p>
    <w:p w14:paraId="485DC6B1" w14:textId="5C58BEB2" w:rsidR="00A04F48" w:rsidRPr="00656794" w:rsidRDefault="00A04F48" w:rsidP="008674EA">
      <w:pPr>
        <w:spacing w:before="138"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4.2.1 </w:t>
      </w:r>
      <w:r w:rsidR="00463686" w:rsidRPr="00656794">
        <w:rPr>
          <w:rFonts w:ascii="Arial" w:eastAsia="Times New Roman" w:hAnsi="Arial" w:cs="Arial"/>
          <w:color w:val="00338D"/>
          <w:sz w:val="24"/>
          <w:szCs w:val="24"/>
          <w:lang w:val="it-IT" w:eastAsia="en-IE"/>
        </w:rPr>
        <w:t>Panoramica generale</w:t>
      </w:r>
    </w:p>
    <w:p w14:paraId="5BBEDA25" w14:textId="7FFC2826" w:rsidR="00A04F48" w:rsidRPr="00656794" w:rsidRDefault="00A04F48" w:rsidP="008674EA">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Come notato sopra, ZLAP è una compagnia di assicurazioni sulla vita e le sue linee di business principali comprendono prodotti di protezione, rendite e pensioni. ZLAP è attiva sia nel mercato dei </w:t>
      </w:r>
      <w:r w:rsidRPr="00656794">
        <w:rPr>
          <w:rFonts w:ascii="Arial" w:hAnsi="Arial" w:cs="Arial"/>
          <w:color w:val="000000"/>
          <w:sz w:val="20"/>
          <w:szCs w:val="20"/>
          <w:lang w:val="it-IT"/>
        </w:rPr>
        <w:lastRenderedPageBreak/>
        <w:t xml:space="preserve">regimi individuali che in quello di gruppo. La tabella seguente fornisce una descrizione di alto livello delle principali linee di attività di ZLAP, insieme ai premi totali </w:t>
      </w:r>
      <w:r w:rsidR="0080440B">
        <w:rPr>
          <w:rFonts w:ascii="Arial" w:hAnsi="Arial" w:cs="Arial"/>
          <w:color w:val="000000"/>
          <w:sz w:val="20"/>
          <w:szCs w:val="20"/>
          <w:lang w:val="it-IT"/>
        </w:rPr>
        <w:t>sotto</w:t>
      </w:r>
      <w:r w:rsidRPr="00656794">
        <w:rPr>
          <w:rFonts w:ascii="Arial" w:hAnsi="Arial" w:cs="Arial"/>
          <w:color w:val="000000"/>
          <w:sz w:val="20"/>
          <w:szCs w:val="20"/>
          <w:lang w:val="it-IT"/>
        </w:rPr>
        <w:t>scritti per ciascuna linea nel 2020.</w:t>
      </w:r>
    </w:p>
    <w:tbl>
      <w:tblPr>
        <w:tblW w:w="0" w:type="auto"/>
        <w:tblCellMar>
          <w:top w:w="15" w:type="dxa"/>
          <w:left w:w="15" w:type="dxa"/>
          <w:bottom w:w="15" w:type="dxa"/>
          <w:right w:w="15" w:type="dxa"/>
        </w:tblCellMar>
        <w:tblLook w:val="04A0" w:firstRow="1" w:lastRow="0" w:firstColumn="1" w:lastColumn="0" w:noHBand="0" w:noVBand="1"/>
      </w:tblPr>
      <w:tblGrid>
        <w:gridCol w:w="2199"/>
        <w:gridCol w:w="2972"/>
        <w:gridCol w:w="1846"/>
        <w:gridCol w:w="1989"/>
      </w:tblGrid>
      <w:tr w:rsidR="008674EA" w:rsidRPr="00656794" w14:paraId="46728728" w14:textId="77777777" w:rsidTr="00096836">
        <w:trPr>
          <w:trHeight w:val="273"/>
        </w:trPr>
        <w:tc>
          <w:tcPr>
            <w:tcW w:w="0" w:type="auto"/>
            <w:gridSpan w:val="4"/>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tcPr>
          <w:p w14:paraId="6BD0DB1B" w14:textId="518F53CA" w:rsidR="008674EA" w:rsidRPr="00656794" w:rsidRDefault="008674EA" w:rsidP="008674EA">
            <w:pPr>
              <w:spacing w:before="98" w:after="0" w:line="240" w:lineRule="auto"/>
              <w:ind w:right="1004"/>
              <w:rPr>
                <w:rFonts w:ascii="Arial" w:eastAsia="Times New Roman" w:hAnsi="Arial" w:cs="Arial"/>
                <w:color w:val="FFFFFF" w:themeColor="background1"/>
                <w:sz w:val="20"/>
                <w:szCs w:val="20"/>
                <w:lang w:val="it-IT" w:eastAsia="en-IE"/>
              </w:rPr>
            </w:pPr>
            <w:r w:rsidRPr="00656794">
              <w:rPr>
                <w:rFonts w:ascii="Arial" w:eastAsia="Times New Roman" w:hAnsi="Arial" w:cs="Arial"/>
                <w:color w:val="FFFFFF" w:themeColor="background1"/>
                <w:sz w:val="20"/>
                <w:szCs w:val="20"/>
                <w:lang w:val="it-IT" w:eastAsia="en-IE"/>
              </w:rPr>
              <w:t xml:space="preserve">Tabella 4.1: ZLAP attività </w:t>
            </w:r>
            <w:r w:rsidR="0080440B">
              <w:rPr>
                <w:rFonts w:ascii="Arial" w:eastAsia="Times New Roman" w:hAnsi="Arial" w:cs="Arial"/>
                <w:color w:val="FFFFFF" w:themeColor="background1"/>
                <w:sz w:val="20"/>
                <w:szCs w:val="20"/>
                <w:lang w:val="it-IT" w:eastAsia="en-IE"/>
              </w:rPr>
              <w:t>sotto</w:t>
            </w:r>
            <w:r w:rsidRPr="00656794">
              <w:rPr>
                <w:rFonts w:ascii="Arial" w:eastAsia="Times New Roman" w:hAnsi="Arial" w:cs="Arial"/>
                <w:color w:val="FFFFFF" w:themeColor="background1"/>
                <w:sz w:val="20"/>
                <w:szCs w:val="20"/>
                <w:lang w:val="it-IT" w:eastAsia="en-IE"/>
              </w:rPr>
              <w:t>scritta</w:t>
            </w:r>
          </w:p>
        </w:tc>
      </w:tr>
      <w:tr w:rsidR="00BB43D4" w:rsidRPr="00656794" w14:paraId="6B6F36FA" w14:textId="77777777" w:rsidTr="008674EA">
        <w:trPr>
          <w:trHeight w:val="628"/>
        </w:trPr>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3C3ADE9" w14:textId="3EB420BC" w:rsidR="00A04F48" w:rsidRPr="00656794" w:rsidRDefault="00272A18" w:rsidP="008674EA">
            <w:pPr>
              <w:spacing w:after="0" w:line="240" w:lineRule="auto"/>
              <w:ind w:left="132"/>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Linea di attività</w:t>
            </w:r>
          </w:p>
        </w:tc>
        <w:tc>
          <w:tcPr>
            <w:tcW w:w="2972"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4F38FC6" w14:textId="42408B5C" w:rsidR="00A04F48" w:rsidRPr="00656794" w:rsidRDefault="00A04F48" w:rsidP="008674EA">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Descri</w:t>
            </w:r>
            <w:r w:rsidR="00FF4640" w:rsidRPr="00656794">
              <w:rPr>
                <w:rFonts w:ascii="Arial" w:eastAsia="Times New Roman" w:hAnsi="Arial" w:cs="Arial"/>
                <w:b/>
                <w:bCs/>
                <w:color w:val="000000"/>
                <w:sz w:val="18"/>
                <w:szCs w:val="18"/>
                <w:lang w:val="it-IT" w:eastAsia="en-IE"/>
              </w:rPr>
              <w:t>zione</w:t>
            </w:r>
          </w:p>
        </w:tc>
        <w:tc>
          <w:tcPr>
            <w:tcW w:w="18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39ED9EA" w14:textId="5B15627F" w:rsidR="00A04F48" w:rsidRPr="00656794" w:rsidRDefault="00FF4640" w:rsidP="008674EA">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 xml:space="preserve">31 </w:t>
            </w:r>
            <w:r w:rsidR="00096836" w:rsidRPr="00656794">
              <w:rPr>
                <w:rFonts w:ascii="Arial" w:eastAsia="Times New Roman" w:hAnsi="Arial" w:cs="Arial"/>
                <w:b/>
                <w:bCs/>
                <w:color w:val="000000"/>
                <w:sz w:val="18"/>
                <w:szCs w:val="18"/>
                <w:lang w:val="it-IT" w:eastAsia="en-IE"/>
              </w:rPr>
              <w:t>dicembre</w:t>
            </w:r>
            <w:r w:rsidRPr="00656794">
              <w:rPr>
                <w:rFonts w:ascii="Arial" w:eastAsia="Times New Roman" w:hAnsi="Arial" w:cs="Arial"/>
                <w:b/>
                <w:bCs/>
                <w:color w:val="000000"/>
                <w:sz w:val="18"/>
                <w:szCs w:val="18"/>
                <w:lang w:val="it-IT" w:eastAsia="en-IE"/>
              </w:rPr>
              <w:t xml:space="preserve"> 2020 </w:t>
            </w:r>
            <w:r w:rsidR="00BB43D4" w:rsidRPr="00656794">
              <w:rPr>
                <w:rFonts w:ascii="Arial" w:eastAsia="Times New Roman" w:hAnsi="Arial" w:cs="Arial"/>
                <w:b/>
                <w:bCs/>
                <w:color w:val="000000"/>
                <w:sz w:val="18"/>
                <w:szCs w:val="18"/>
                <w:lang w:val="it-IT" w:eastAsia="en-IE"/>
              </w:rPr>
              <w:br/>
              <w:t>Premi sottoscritti</w:t>
            </w:r>
            <w:r w:rsidRPr="00656794">
              <w:rPr>
                <w:rFonts w:ascii="Arial" w:eastAsia="Times New Roman" w:hAnsi="Arial" w:cs="Arial"/>
                <w:b/>
                <w:bCs/>
                <w:color w:val="000000"/>
                <w:sz w:val="18"/>
                <w:szCs w:val="18"/>
                <w:lang w:val="it-IT" w:eastAsia="en-IE"/>
              </w:rPr>
              <w:t xml:space="preserve"> (€ mln)</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5FBCDCCB" w14:textId="206A284A" w:rsidR="00A04F48" w:rsidRPr="00656794" w:rsidRDefault="00BB43D4" w:rsidP="008674EA">
            <w:pPr>
              <w:spacing w:before="3"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30 giugno 2021 Premi Sottoscritti (€mln)</w:t>
            </w:r>
          </w:p>
        </w:tc>
      </w:tr>
      <w:tr w:rsidR="008F4702" w:rsidRPr="00656794" w14:paraId="2906768B" w14:textId="77777777" w:rsidTr="00096836">
        <w:trPr>
          <w:trHeight w:val="7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D0FDB" w14:textId="4DD3048D" w:rsidR="008F4702" w:rsidRPr="00656794" w:rsidRDefault="008F4702" w:rsidP="0080440B">
            <w:pPr>
              <w:spacing w:after="0" w:line="240" w:lineRule="auto"/>
              <w:ind w:left="130"/>
              <w:rPr>
                <w:rFonts w:ascii="Arial" w:eastAsia="Times New Roman" w:hAnsi="Arial" w:cs="Arial"/>
                <w:sz w:val="18"/>
                <w:szCs w:val="18"/>
                <w:lang w:val="it-IT" w:eastAsia="en-IE"/>
              </w:rPr>
            </w:pPr>
            <w:r w:rsidRPr="00656794">
              <w:rPr>
                <w:rFonts w:ascii="Arial" w:hAnsi="Arial" w:cs="Arial"/>
                <w:sz w:val="18"/>
                <w:szCs w:val="18"/>
                <w:lang w:val="it-IT"/>
              </w:rPr>
              <w:t>Assicurazione sanitaria</w:t>
            </w:r>
          </w:p>
        </w:tc>
        <w:tc>
          <w:tcPr>
            <w:tcW w:w="29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601ED" w14:textId="4BCB20DE" w:rsidR="008F4702" w:rsidRPr="00656794" w:rsidRDefault="00063A96" w:rsidP="008F4702">
            <w:pPr>
              <w:spacing w:after="0" w:line="240" w:lineRule="auto"/>
              <w:ind w:left="126" w:right="115" w:firstLine="2"/>
              <w:rPr>
                <w:rFonts w:ascii="Times New Roman" w:eastAsia="Times New Roman" w:hAnsi="Times New Roman" w:cs="Times New Roman"/>
                <w:sz w:val="24"/>
                <w:szCs w:val="24"/>
                <w:lang w:val="it-IT" w:eastAsia="en-IE"/>
              </w:rPr>
            </w:pPr>
            <w:r w:rsidRPr="00063A96">
              <w:rPr>
                <w:rFonts w:ascii="Arial" w:eastAsia="Times New Roman" w:hAnsi="Arial" w:cs="Arial"/>
                <w:color w:val="000000"/>
                <w:sz w:val="18"/>
                <w:szCs w:val="18"/>
                <w:shd w:val="clear" w:color="auto" w:fill="FFFFFF"/>
                <w:lang w:val="it-IT" w:eastAsia="en-IE"/>
              </w:rPr>
              <w:t>Prodotti che offrono prestazioni di protezione del reddito o benefici in caso di malattia grave.</w:t>
            </w: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4B1DF" w14:textId="011E3417" w:rsidR="008F4702" w:rsidRPr="00656794" w:rsidRDefault="008F4702" w:rsidP="008F470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49</w:t>
            </w:r>
            <w:r w:rsidR="003A43B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88A82" w14:textId="7719D32E" w:rsidR="008F4702" w:rsidRPr="00656794" w:rsidRDefault="008F4702" w:rsidP="008F470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26</w:t>
            </w:r>
            <w:r w:rsidR="003A43B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9</w:t>
            </w:r>
          </w:p>
        </w:tc>
      </w:tr>
      <w:tr w:rsidR="008F4702" w:rsidRPr="00656794" w14:paraId="381A8B0D" w14:textId="77777777" w:rsidTr="00096836">
        <w:trPr>
          <w:trHeight w:val="5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E79C0" w14:textId="6287E7C4" w:rsidR="008F4702" w:rsidRPr="00656794" w:rsidRDefault="008F4702" w:rsidP="0080440B">
            <w:pPr>
              <w:spacing w:after="0" w:line="240" w:lineRule="auto"/>
              <w:ind w:left="124"/>
              <w:rPr>
                <w:rFonts w:ascii="Arial" w:eastAsia="Times New Roman" w:hAnsi="Arial" w:cs="Arial"/>
                <w:sz w:val="18"/>
                <w:szCs w:val="18"/>
                <w:lang w:val="it-IT" w:eastAsia="en-IE"/>
              </w:rPr>
            </w:pPr>
            <w:r w:rsidRPr="00656794">
              <w:rPr>
                <w:rFonts w:ascii="Arial" w:hAnsi="Arial" w:cs="Arial"/>
                <w:sz w:val="18"/>
                <w:szCs w:val="18"/>
                <w:lang w:val="it-IT"/>
              </w:rPr>
              <w:t>Altre assicurazioni sulla vita</w:t>
            </w:r>
          </w:p>
        </w:tc>
        <w:tc>
          <w:tcPr>
            <w:tcW w:w="29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1B0FC" w14:textId="4AB8D4D1" w:rsidR="008F4702" w:rsidRPr="00656794" w:rsidRDefault="008F4702" w:rsidP="008F4702">
            <w:pPr>
              <w:spacing w:after="0" w:line="240" w:lineRule="auto"/>
              <w:ind w:left="121" w:right="203" w:firstLine="3"/>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 xml:space="preserve">Si compone principalmente di </w:t>
            </w:r>
            <w:r w:rsidR="00063A96" w:rsidRPr="00656794">
              <w:rPr>
                <w:rFonts w:ascii="Arial" w:eastAsia="Times New Roman" w:hAnsi="Arial" w:cs="Arial"/>
                <w:color w:val="000000"/>
                <w:sz w:val="18"/>
                <w:szCs w:val="18"/>
                <w:shd w:val="clear" w:color="auto" w:fill="FFFFFF"/>
                <w:lang w:val="it-IT" w:eastAsia="en-IE"/>
              </w:rPr>
              <w:t>rendit</w:t>
            </w:r>
            <w:r w:rsidR="00063A96">
              <w:rPr>
                <w:rFonts w:ascii="Arial" w:eastAsia="Times New Roman" w:hAnsi="Arial" w:cs="Arial"/>
                <w:color w:val="000000"/>
                <w:sz w:val="18"/>
                <w:szCs w:val="18"/>
                <w:shd w:val="clear" w:color="auto" w:fill="FFFFFF"/>
                <w:lang w:val="it-IT" w:eastAsia="en-IE"/>
              </w:rPr>
              <w:t>e</w:t>
            </w:r>
            <w:r w:rsidR="00063A96" w:rsidRPr="00656794">
              <w:rPr>
                <w:rFonts w:ascii="Arial" w:eastAsia="Times New Roman" w:hAnsi="Arial" w:cs="Arial"/>
                <w:color w:val="000000"/>
                <w:sz w:val="18"/>
                <w:szCs w:val="18"/>
                <w:shd w:val="clear" w:color="auto" w:fill="FFFFFF"/>
                <w:lang w:val="it-IT" w:eastAsia="en-IE"/>
              </w:rPr>
              <w:t xml:space="preserve"> </w:t>
            </w:r>
            <w:r w:rsidRPr="00656794">
              <w:rPr>
                <w:rFonts w:ascii="Arial" w:eastAsia="Times New Roman" w:hAnsi="Arial" w:cs="Arial"/>
                <w:color w:val="000000"/>
                <w:sz w:val="18"/>
                <w:szCs w:val="18"/>
                <w:shd w:val="clear" w:color="auto" w:fill="FFFFFF"/>
                <w:lang w:val="it-IT" w:eastAsia="en-IE"/>
              </w:rPr>
              <w:t xml:space="preserve">e prodotti di protezione </w:t>
            </w:r>
            <w:r w:rsidR="00063A96">
              <w:rPr>
                <w:rFonts w:ascii="Arial" w:eastAsia="Times New Roman" w:hAnsi="Arial" w:cs="Arial"/>
                <w:color w:val="000000"/>
                <w:sz w:val="18"/>
                <w:szCs w:val="18"/>
                <w:shd w:val="clear" w:color="auto" w:fill="FFFFFF"/>
                <w:lang w:val="it-IT" w:eastAsia="en-IE"/>
              </w:rPr>
              <w:t xml:space="preserve">a </w:t>
            </w:r>
            <w:r w:rsidRPr="00656794">
              <w:rPr>
                <w:rFonts w:ascii="Arial" w:eastAsia="Times New Roman" w:hAnsi="Arial" w:cs="Arial"/>
                <w:color w:val="000000"/>
                <w:sz w:val="18"/>
                <w:szCs w:val="18"/>
                <w:shd w:val="clear" w:color="auto" w:fill="FFFFFF"/>
                <w:lang w:val="it-IT" w:eastAsia="en-IE"/>
              </w:rPr>
              <w:t>termine.</w:t>
            </w: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FA5AB" w14:textId="50608E01" w:rsidR="008F4702" w:rsidRPr="00656794" w:rsidRDefault="008F4702" w:rsidP="008F470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221</w:t>
            </w:r>
            <w:r w:rsidR="003A43B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336D0" w14:textId="67C510F1" w:rsidR="008F4702" w:rsidRPr="00656794" w:rsidRDefault="008F4702" w:rsidP="008F470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118</w:t>
            </w:r>
            <w:r w:rsidR="003A43B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7</w:t>
            </w:r>
          </w:p>
        </w:tc>
      </w:tr>
      <w:tr w:rsidR="008F4702" w:rsidRPr="00656794" w14:paraId="112A8B48" w14:textId="77777777" w:rsidTr="00096836">
        <w:trPr>
          <w:trHeight w:val="10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5421E" w14:textId="2FC9438C" w:rsidR="008F4702" w:rsidRPr="00656794" w:rsidRDefault="008F4702" w:rsidP="0080440B">
            <w:pPr>
              <w:spacing w:after="0" w:line="240" w:lineRule="auto"/>
              <w:ind w:left="132"/>
              <w:rPr>
                <w:rFonts w:ascii="Arial" w:eastAsia="Times New Roman" w:hAnsi="Arial" w:cs="Arial"/>
                <w:sz w:val="18"/>
                <w:szCs w:val="18"/>
                <w:lang w:val="it-IT" w:eastAsia="en-IE"/>
              </w:rPr>
            </w:pPr>
            <w:r w:rsidRPr="00656794">
              <w:rPr>
                <w:rFonts w:ascii="Arial" w:hAnsi="Arial" w:cs="Arial"/>
                <w:sz w:val="18"/>
                <w:szCs w:val="18"/>
                <w:lang w:val="it-IT"/>
              </w:rPr>
              <w:t>Assicurazione con partecipazione</w:t>
            </w:r>
            <w:r w:rsidR="00063A96">
              <w:rPr>
                <w:rFonts w:ascii="Arial" w:hAnsi="Arial" w:cs="Arial"/>
                <w:sz w:val="18"/>
                <w:szCs w:val="18"/>
                <w:lang w:val="it-IT"/>
              </w:rPr>
              <w:t xml:space="preserve"> </w:t>
            </w:r>
            <w:r w:rsidR="00446E83">
              <w:rPr>
                <w:rFonts w:ascii="Arial" w:hAnsi="Arial" w:cs="Arial"/>
                <w:sz w:val="18"/>
                <w:szCs w:val="18"/>
                <w:lang w:val="it-IT"/>
              </w:rPr>
              <w:t>con profitto</w:t>
            </w:r>
          </w:p>
        </w:tc>
        <w:tc>
          <w:tcPr>
            <w:tcW w:w="29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DC2CE" w14:textId="3FF04BAE" w:rsidR="0080440B" w:rsidRPr="0080440B" w:rsidRDefault="0080440B" w:rsidP="0080440B">
            <w:pPr>
              <w:spacing w:after="0" w:line="240" w:lineRule="auto"/>
              <w:ind w:left="118" w:right="326" w:hanging="7"/>
              <w:rPr>
                <w:rFonts w:ascii="Arial" w:eastAsia="Times New Roman" w:hAnsi="Arial" w:cs="Arial"/>
                <w:color w:val="000000"/>
                <w:sz w:val="18"/>
                <w:szCs w:val="18"/>
                <w:shd w:val="clear" w:color="auto" w:fill="FFFFFF"/>
                <w:lang w:val="it-IT" w:eastAsia="en-IE"/>
              </w:rPr>
            </w:pPr>
            <w:r w:rsidRPr="0080440B">
              <w:rPr>
                <w:rFonts w:ascii="Arial" w:eastAsia="Times New Roman" w:hAnsi="Arial" w:cs="Arial"/>
                <w:color w:val="000000"/>
                <w:sz w:val="18"/>
                <w:szCs w:val="18"/>
                <w:shd w:val="clear" w:color="auto" w:fill="FFFFFF"/>
                <w:lang w:val="it-IT" w:eastAsia="en-IE"/>
              </w:rPr>
              <w:t>Questa categoria comprende polizze unit</w:t>
            </w:r>
            <w:r>
              <w:rPr>
                <w:rFonts w:ascii="Arial" w:eastAsia="Times New Roman" w:hAnsi="Arial" w:cs="Arial"/>
                <w:color w:val="000000"/>
                <w:sz w:val="18"/>
                <w:szCs w:val="18"/>
                <w:shd w:val="clear" w:color="auto" w:fill="FFFFFF"/>
                <w:lang w:val="it-IT" w:eastAsia="en-IE"/>
              </w:rPr>
              <w:t>-</w:t>
            </w:r>
            <w:r w:rsidRPr="0080440B">
              <w:rPr>
                <w:rFonts w:ascii="Arial" w:eastAsia="Times New Roman" w:hAnsi="Arial" w:cs="Arial"/>
                <w:color w:val="000000"/>
                <w:sz w:val="18"/>
                <w:szCs w:val="18"/>
                <w:shd w:val="clear" w:color="auto" w:fill="FFFFFF"/>
                <w:lang w:val="it-IT" w:eastAsia="en-IE"/>
              </w:rPr>
              <w:t>linked dove</w:t>
            </w:r>
          </w:p>
          <w:p w14:paraId="2B36CEA4" w14:textId="55E3E283" w:rsidR="008F4702" w:rsidRPr="00656794" w:rsidRDefault="0080440B" w:rsidP="00110CD2">
            <w:pPr>
              <w:spacing w:after="0" w:line="240" w:lineRule="auto"/>
              <w:ind w:left="118" w:right="326" w:hanging="7"/>
              <w:rPr>
                <w:rFonts w:ascii="Times New Roman" w:eastAsia="Times New Roman" w:hAnsi="Times New Roman" w:cs="Times New Roman"/>
                <w:sz w:val="24"/>
                <w:szCs w:val="24"/>
                <w:lang w:val="it-IT" w:eastAsia="en-IE"/>
              </w:rPr>
            </w:pPr>
            <w:r w:rsidRPr="0080440B">
              <w:rPr>
                <w:rFonts w:ascii="Arial" w:eastAsia="Times New Roman" w:hAnsi="Arial" w:cs="Arial"/>
                <w:color w:val="000000"/>
                <w:sz w:val="18"/>
                <w:szCs w:val="18"/>
                <w:shd w:val="clear" w:color="auto" w:fill="FFFFFF"/>
                <w:lang w:val="it-IT" w:eastAsia="en-IE"/>
              </w:rPr>
              <w:t xml:space="preserve">oltre il 50% dei loro investimenti è investito nei fondi Unitised </w:t>
            </w:r>
            <w:r w:rsidR="00446E83">
              <w:rPr>
                <w:rFonts w:ascii="Arial" w:eastAsia="Times New Roman" w:hAnsi="Arial" w:cs="Arial"/>
                <w:color w:val="000000"/>
                <w:sz w:val="18"/>
                <w:szCs w:val="18"/>
                <w:shd w:val="clear" w:color="auto" w:fill="FFFFFF"/>
                <w:lang w:val="it-IT" w:eastAsia="en-IE"/>
              </w:rPr>
              <w:t>Con profitto</w:t>
            </w:r>
            <w:r w:rsidRPr="0080440B">
              <w:rPr>
                <w:rFonts w:ascii="Arial" w:eastAsia="Times New Roman" w:hAnsi="Arial" w:cs="Arial"/>
                <w:color w:val="000000"/>
                <w:sz w:val="18"/>
                <w:szCs w:val="18"/>
                <w:shd w:val="clear" w:color="auto" w:fill="FFFFFF"/>
                <w:lang w:val="it-IT" w:eastAsia="en-IE"/>
              </w:rPr>
              <w:t xml:space="preserve"> di ZLAP</w:t>
            </w: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224FE" w14:textId="3721F025" w:rsidR="008F4702" w:rsidRPr="00656794" w:rsidRDefault="008F4702" w:rsidP="008F470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39</w:t>
            </w:r>
            <w:r w:rsidR="003A43B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2260D" w14:textId="2846EB6C" w:rsidR="008F4702" w:rsidRPr="00656794" w:rsidRDefault="008F4702" w:rsidP="008F470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13</w:t>
            </w:r>
            <w:r w:rsidR="003A43B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7</w:t>
            </w:r>
          </w:p>
        </w:tc>
      </w:tr>
      <w:tr w:rsidR="008F4702" w:rsidRPr="00656794" w14:paraId="6EDAE0AB" w14:textId="77777777" w:rsidTr="00096836">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DF25E" w14:textId="22759DE6" w:rsidR="008F4702" w:rsidRPr="00656794" w:rsidRDefault="008F4702" w:rsidP="00110CD2">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 xml:space="preserve">Assicurazione </w:t>
            </w:r>
            <w:r w:rsidR="00063A96">
              <w:rPr>
                <w:rFonts w:ascii="Arial" w:hAnsi="Arial" w:cs="Arial"/>
                <w:sz w:val="18"/>
                <w:szCs w:val="18"/>
                <w:lang w:val="it-IT"/>
              </w:rPr>
              <w:t>Index-Linked e Unit-Linked</w:t>
            </w:r>
          </w:p>
        </w:tc>
        <w:tc>
          <w:tcPr>
            <w:tcW w:w="29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2D70C" w14:textId="25907DAA" w:rsidR="008F4702" w:rsidRPr="00656794" w:rsidRDefault="00063A96" w:rsidP="003A43B3">
            <w:pPr>
              <w:spacing w:before="5" w:after="0" w:line="240" w:lineRule="auto"/>
              <w:ind w:left="120" w:right="466" w:firstLine="6"/>
              <w:rPr>
                <w:rFonts w:ascii="Times New Roman" w:eastAsia="Times New Roman" w:hAnsi="Times New Roman" w:cs="Times New Roman"/>
                <w:sz w:val="24"/>
                <w:szCs w:val="24"/>
                <w:lang w:val="it-IT" w:eastAsia="en-IE"/>
              </w:rPr>
            </w:pPr>
            <w:r w:rsidRPr="00063A96">
              <w:rPr>
                <w:rFonts w:ascii="Arial" w:eastAsia="Times New Roman" w:hAnsi="Arial" w:cs="Arial"/>
                <w:color w:val="000000"/>
                <w:sz w:val="18"/>
                <w:szCs w:val="18"/>
                <w:shd w:val="clear" w:color="auto" w:fill="FFFFFF"/>
                <w:lang w:val="it-IT" w:eastAsia="en-IE"/>
              </w:rPr>
              <w:t xml:space="preserve">La categoria delle assicurazioni </w:t>
            </w:r>
            <w:r>
              <w:rPr>
                <w:rFonts w:ascii="Arial" w:eastAsia="Times New Roman" w:hAnsi="Arial" w:cs="Arial"/>
                <w:color w:val="000000"/>
                <w:sz w:val="18"/>
                <w:szCs w:val="18"/>
                <w:shd w:val="clear" w:color="auto" w:fill="FFFFFF"/>
                <w:lang w:val="it-IT" w:eastAsia="en-IE"/>
              </w:rPr>
              <w:t>Index-Linked</w:t>
            </w:r>
            <w:r w:rsidRPr="00063A96">
              <w:rPr>
                <w:rFonts w:ascii="Arial" w:eastAsia="Times New Roman" w:hAnsi="Arial" w:cs="Arial"/>
                <w:color w:val="000000"/>
                <w:sz w:val="18"/>
                <w:szCs w:val="18"/>
                <w:shd w:val="clear" w:color="auto" w:fill="FFFFFF"/>
                <w:lang w:val="it-IT" w:eastAsia="en-IE"/>
              </w:rPr>
              <w:t xml:space="preserve"> </w:t>
            </w:r>
            <w:r>
              <w:rPr>
                <w:rFonts w:ascii="Arial" w:eastAsia="Times New Roman" w:hAnsi="Arial" w:cs="Arial"/>
                <w:color w:val="000000"/>
                <w:sz w:val="18"/>
                <w:szCs w:val="18"/>
                <w:shd w:val="clear" w:color="auto" w:fill="FFFFFF"/>
                <w:lang w:val="it-IT" w:eastAsia="en-IE"/>
              </w:rPr>
              <w:t xml:space="preserve">e Unit-Linked </w:t>
            </w:r>
            <w:r w:rsidRPr="00063A96">
              <w:rPr>
                <w:rFonts w:ascii="Arial" w:eastAsia="Times New Roman" w:hAnsi="Arial" w:cs="Arial"/>
                <w:color w:val="000000"/>
                <w:sz w:val="18"/>
                <w:szCs w:val="18"/>
                <w:shd w:val="clear" w:color="auto" w:fill="FFFFFF"/>
                <w:lang w:val="it-IT" w:eastAsia="en-IE"/>
              </w:rPr>
              <w:t xml:space="preserve">è la più ampia linea di attività di ZLAP e contiene tutte le altre polizze </w:t>
            </w:r>
            <w:r>
              <w:rPr>
                <w:rFonts w:ascii="Arial" w:eastAsia="Times New Roman" w:hAnsi="Arial" w:cs="Arial"/>
                <w:color w:val="000000"/>
                <w:sz w:val="18"/>
                <w:szCs w:val="18"/>
                <w:shd w:val="clear" w:color="auto" w:fill="FFFFFF"/>
                <w:lang w:val="it-IT" w:eastAsia="en-IE"/>
              </w:rPr>
              <w:t xml:space="preserve">unit-linked </w:t>
            </w: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0CEFD" w14:textId="38D49381" w:rsidR="008F4702" w:rsidRPr="00656794" w:rsidRDefault="008F4702" w:rsidP="008F470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w:t>
            </w:r>
            <w:r w:rsidR="003A43B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938</w:t>
            </w:r>
            <w:r w:rsidR="003A43B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17B7A" w14:textId="4A866DC2" w:rsidR="008F4702" w:rsidRPr="00656794" w:rsidRDefault="008F4702" w:rsidP="008F470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w:t>
            </w:r>
            <w:r w:rsidR="003A43B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940</w:t>
            </w:r>
            <w:r w:rsidR="003A43B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9</w:t>
            </w:r>
          </w:p>
        </w:tc>
      </w:tr>
      <w:tr w:rsidR="00BB43D4" w:rsidRPr="00656794" w14:paraId="5DAB8C47" w14:textId="77777777" w:rsidTr="00096836">
        <w:trPr>
          <w:trHeight w:val="2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9E8F2" w14:textId="7B90DFEC" w:rsidR="00A04F48" w:rsidRPr="00656794" w:rsidRDefault="00A04F48" w:rsidP="00A04F48">
            <w:pPr>
              <w:spacing w:after="0" w:line="240" w:lineRule="auto"/>
              <w:ind w:left="119"/>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Total</w:t>
            </w:r>
            <w:r w:rsidR="00BB43D4" w:rsidRPr="00656794">
              <w:rPr>
                <w:rFonts w:ascii="Arial" w:eastAsia="Times New Roman" w:hAnsi="Arial" w:cs="Arial"/>
                <w:b/>
                <w:bCs/>
                <w:color w:val="000000"/>
                <w:sz w:val="18"/>
                <w:szCs w:val="18"/>
                <w:shd w:val="clear" w:color="auto" w:fill="FFFFFF"/>
                <w:lang w:val="it-IT" w:eastAsia="en-IE"/>
              </w:rPr>
              <w:t>e</w:t>
            </w:r>
          </w:p>
        </w:tc>
        <w:tc>
          <w:tcPr>
            <w:tcW w:w="29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A6A3F" w14:textId="77777777" w:rsidR="00A04F48" w:rsidRPr="00656794" w:rsidRDefault="00A04F48" w:rsidP="00A04F48">
            <w:pPr>
              <w:spacing w:after="0" w:line="240" w:lineRule="auto"/>
              <w:rPr>
                <w:rFonts w:ascii="Times New Roman" w:eastAsia="Times New Roman" w:hAnsi="Times New Roman" w:cs="Times New Roman"/>
                <w:sz w:val="24"/>
                <w:szCs w:val="24"/>
                <w:lang w:val="it-IT" w:eastAsia="en-IE"/>
              </w:rPr>
            </w:pPr>
          </w:p>
        </w:tc>
        <w:tc>
          <w:tcPr>
            <w:tcW w:w="1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AE706" w14:textId="11B01A74" w:rsidR="00A04F48" w:rsidRPr="00656794" w:rsidRDefault="00A04F48" w:rsidP="00A04F48">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3</w:t>
            </w:r>
            <w:r w:rsidR="003A43B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248</w:t>
            </w:r>
            <w:r w:rsidR="003A43B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DC001" w14:textId="14F96B1F" w:rsidR="00A04F48" w:rsidRPr="00656794" w:rsidRDefault="00A04F48" w:rsidP="00A04F48">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2</w:t>
            </w:r>
            <w:r w:rsidR="003A43B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100</w:t>
            </w:r>
            <w:r w:rsidR="003A43B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2</w:t>
            </w:r>
          </w:p>
        </w:tc>
      </w:tr>
    </w:tbl>
    <w:p w14:paraId="16CE0B28" w14:textId="77777777" w:rsidR="00DB7B1A" w:rsidRPr="00656794" w:rsidRDefault="00DB7B1A" w:rsidP="00A04F48">
      <w:pPr>
        <w:pStyle w:val="NormalWeb"/>
        <w:ind w:right="102"/>
        <w:jc w:val="both"/>
        <w:rPr>
          <w:rFonts w:ascii="Arial" w:hAnsi="Arial" w:cs="Arial"/>
          <w:color w:val="000000"/>
          <w:sz w:val="12"/>
          <w:szCs w:val="12"/>
          <w:lang w:val="it-IT"/>
        </w:rPr>
      </w:pPr>
      <w:r w:rsidRPr="00656794">
        <w:rPr>
          <w:rFonts w:ascii="Arial" w:hAnsi="Arial" w:cs="Arial"/>
          <w:color w:val="000000"/>
          <w:sz w:val="12"/>
          <w:szCs w:val="12"/>
          <w:lang w:val="it-IT"/>
        </w:rPr>
        <w:t>Fonte: analisi ZLAP e rapporti di solvibilità e condizioni finanziarie 2020</w:t>
      </w:r>
    </w:p>
    <w:p w14:paraId="6AACF4F2" w14:textId="24387D6D" w:rsidR="00A04F48" w:rsidRPr="00656794" w:rsidRDefault="00A04F48"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La </w:t>
      </w:r>
      <w:r w:rsidR="00272A18" w:rsidRPr="00656794">
        <w:rPr>
          <w:rFonts w:ascii="Arial" w:hAnsi="Arial" w:cs="Arial"/>
          <w:color w:val="000000"/>
          <w:sz w:val="20"/>
          <w:szCs w:val="20"/>
          <w:lang w:val="it-IT"/>
        </w:rPr>
        <w:t>Linea di attività</w:t>
      </w:r>
      <w:r w:rsidRPr="00656794">
        <w:rPr>
          <w:rFonts w:ascii="Arial" w:hAnsi="Arial" w:cs="Arial"/>
          <w:color w:val="000000"/>
          <w:sz w:val="20"/>
          <w:szCs w:val="20"/>
          <w:lang w:val="it-IT"/>
        </w:rPr>
        <w:t xml:space="preserve">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Assicurazione sanitaria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include prodotti per malattie gravi e protezione del reddito rilasciati sia a clienti individuali che a schemi di gruppo. La categoria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Altre assicurazioni sulla vita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è costituita principalmente da polizze di rendita e previdenza.</w:t>
      </w:r>
    </w:p>
    <w:p w14:paraId="08FEFF4A" w14:textId="6C870EE0" w:rsidR="00A04F48" w:rsidRPr="00656794" w:rsidRDefault="00F23A40" w:rsidP="00A04F48">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w:t>
      </w:r>
      <w:r w:rsidR="00A04F48" w:rsidRPr="00656794">
        <w:rPr>
          <w:rFonts w:ascii="Arial" w:hAnsi="Arial" w:cs="Arial"/>
          <w:color w:val="000000"/>
          <w:sz w:val="20"/>
          <w:szCs w:val="20"/>
          <w:lang w:val="it-IT"/>
        </w:rPr>
        <w:t xml:space="preserve">Assicurazione con partecipazione </w:t>
      </w:r>
      <w:r w:rsidR="00446E83">
        <w:rPr>
          <w:rFonts w:ascii="Arial" w:hAnsi="Arial" w:cs="Arial"/>
          <w:color w:val="000000"/>
          <w:sz w:val="20"/>
          <w:szCs w:val="20"/>
          <w:lang w:val="it-IT"/>
        </w:rPr>
        <w:t>con profitto</w:t>
      </w:r>
      <w:r w:rsidRPr="00656794">
        <w:rPr>
          <w:rFonts w:ascii="Arial" w:hAnsi="Arial" w:cs="Arial"/>
          <w:color w:val="000000"/>
          <w:sz w:val="20"/>
          <w:szCs w:val="20"/>
          <w:lang w:val="it-IT"/>
        </w:rPr>
        <w:t>”</w:t>
      </w:r>
      <w:r w:rsidR="00A04F48" w:rsidRPr="00656794">
        <w:rPr>
          <w:rFonts w:ascii="Arial" w:hAnsi="Arial" w:cs="Arial"/>
          <w:color w:val="000000"/>
          <w:sz w:val="20"/>
          <w:szCs w:val="20"/>
          <w:lang w:val="it-IT"/>
        </w:rPr>
        <w:t xml:space="preserve"> è composta da qualsiasi polizza </w:t>
      </w:r>
      <w:r w:rsidR="008A525A" w:rsidRPr="00656794">
        <w:rPr>
          <w:rFonts w:ascii="Arial" w:hAnsi="Arial" w:cs="Arial"/>
          <w:color w:val="000000"/>
          <w:sz w:val="20"/>
          <w:szCs w:val="20"/>
          <w:lang w:val="it-IT"/>
        </w:rPr>
        <w:t>unit-linked</w:t>
      </w:r>
      <w:r w:rsidR="00A04F48" w:rsidRPr="00656794">
        <w:rPr>
          <w:rFonts w:ascii="Arial" w:hAnsi="Arial" w:cs="Arial"/>
          <w:color w:val="000000"/>
          <w:sz w:val="20"/>
          <w:szCs w:val="20"/>
          <w:lang w:val="it-IT"/>
        </w:rPr>
        <w:t xml:space="preserve"> in cui oltre il 50% dei loro investimenti è investito nei fondi Unitised </w:t>
      </w:r>
      <w:r w:rsidR="00446E83">
        <w:rPr>
          <w:rFonts w:ascii="Arial" w:hAnsi="Arial" w:cs="Arial"/>
          <w:color w:val="000000"/>
          <w:sz w:val="20"/>
          <w:szCs w:val="20"/>
          <w:lang w:val="it-IT"/>
        </w:rPr>
        <w:t>Con profitto</w:t>
      </w:r>
      <w:r w:rsidR="00A04F48" w:rsidRPr="00656794">
        <w:rPr>
          <w:rFonts w:ascii="Arial" w:hAnsi="Arial" w:cs="Arial"/>
          <w:color w:val="000000"/>
          <w:sz w:val="20"/>
          <w:szCs w:val="20"/>
          <w:lang w:val="it-IT"/>
        </w:rPr>
        <w:t xml:space="preserve"> di ZLAP; la categoria </w:t>
      </w:r>
      <w:r w:rsidRPr="00656794">
        <w:rPr>
          <w:rFonts w:ascii="Arial" w:hAnsi="Arial" w:cs="Arial"/>
          <w:color w:val="000000"/>
          <w:sz w:val="20"/>
          <w:szCs w:val="20"/>
          <w:lang w:val="it-IT"/>
        </w:rPr>
        <w:t>“</w:t>
      </w:r>
      <w:r w:rsidR="00A04F48" w:rsidRPr="00656794">
        <w:rPr>
          <w:rFonts w:ascii="Arial" w:hAnsi="Arial" w:cs="Arial"/>
          <w:color w:val="000000"/>
          <w:sz w:val="20"/>
          <w:szCs w:val="20"/>
          <w:lang w:val="it-IT"/>
        </w:rPr>
        <w:t xml:space="preserve">Assicurazione </w:t>
      </w:r>
      <w:r w:rsidR="00063A96">
        <w:rPr>
          <w:rFonts w:ascii="Arial" w:hAnsi="Arial" w:cs="Arial"/>
          <w:sz w:val="18"/>
          <w:szCs w:val="18"/>
          <w:lang w:val="it-IT"/>
        </w:rPr>
        <w:t>Index-Linked e Unit-Linked</w:t>
      </w:r>
      <w:r w:rsidRPr="00656794">
        <w:rPr>
          <w:rFonts w:ascii="Arial" w:hAnsi="Arial" w:cs="Arial"/>
          <w:color w:val="000000"/>
          <w:sz w:val="20"/>
          <w:szCs w:val="20"/>
          <w:lang w:val="it-IT"/>
        </w:rPr>
        <w:t>”</w:t>
      </w:r>
      <w:r w:rsidR="00A04F48" w:rsidRPr="00656794">
        <w:rPr>
          <w:rFonts w:ascii="Arial" w:hAnsi="Arial" w:cs="Arial"/>
          <w:color w:val="000000"/>
          <w:sz w:val="20"/>
          <w:szCs w:val="20"/>
          <w:lang w:val="it-IT"/>
        </w:rPr>
        <w:t xml:space="preserve"> è la più grande linea di attività di ZLAP e contiene tutte le altre polizze </w:t>
      </w:r>
      <w:r w:rsidR="00063A96">
        <w:rPr>
          <w:rFonts w:ascii="Arial" w:hAnsi="Arial" w:cs="Arial"/>
          <w:color w:val="000000"/>
          <w:sz w:val="20"/>
          <w:szCs w:val="20"/>
          <w:lang w:val="it-IT"/>
        </w:rPr>
        <w:t>unit-linked</w:t>
      </w:r>
      <w:r w:rsidR="00A04F48" w:rsidRPr="00656794">
        <w:rPr>
          <w:rFonts w:ascii="Arial" w:hAnsi="Arial" w:cs="Arial"/>
          <w:color w:val="000000"/>
          <w:sz w:val="20"/>
          <w:szCs w:val="20"/>
          <w:lang w:val="it-IT"/>
        </w:rPr>
        <w:t xml:space="preserve">. Le polizze </w:t>
      </w:r>
      <w:r w:rsidR="008A525A" w:rsidRPr="00656794">
        <w:rPr>
          <w:rFonts w:ascii="Arial" w:hAnsi="Arial" w:cs="Arial"/>
          <w:color w:val="000000"/>
          <w:sz w:val="20"/>
          <w:szCs w:val="20"/>
          <w:lang w:val="it-IT"/>
        </w:rPr>
        <w:t>unit-linked</w:t>
      </w:r>
      <w:r w:rsidR="00A04F48" w:rsidRPr="00656794">
        <w:rPr>
          <w:rFonts w:ascii="Arial" w:hAnsi="Arial" w:cs="Arial"/>
          <w:color w:val="000000"/>
          <w:sz w:val="20"/>
          <w:szCs w:val="20"/>
          <w:lang w:val="it-IT"/>
        </w:rPr>
        <w:t xml:space="preserve"> sono quelle in cui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A04F48" w:rsidRPr="00656794">
        <w:rPr>
          <w:rFonts w:ascii="Arial" w:hAnsi="Arial" w:cs="Arial"/>
          <w:color w:val="000000"/>
          <w:sz w:val="20"/>
          <w:szCs w:val="20"/>
          <w:lang w:val="it-IT"/>
        </w:rPr>
        <w:t xml:space="preserve"> investono i loro premi in fondi comuni di investimento sottostanti, con il valore delle loro polizze in aumento o in diminuzione in linea con la performance delle attività sottostanti. Il rischio di investimento per tali fondi è a carico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A04F48" w:rsidRPr="00656794">
        <w:rPr>
          <w:rFonts w:ascii="Arial" w:hAnsi="Arial" w:cs="Arial"/>
          <w:color w:val="000000"/>
          <w:sz w:val="20"/>
          <w:szCs w:val="20"/>
          <w:lang w:val="it-IT"/>
        </w:rPr>
        <w:t xml:space="preserve">, con ZLAP che generalmente guadagna una commissione che è principalmente fissata come percentuale del fondo. Le polizze </w:t>
      </w:r>
      <w:r w:rsidR="008A525A" w:rsidRPr="00656794">
        <w:rPr>
          <w:rFonts w:ascii="Arial" w:hAnsi="Arial" w:cs="Arial"/>
          <w:color w:val="000000"/>
          <w:sz w:val="20"/>
          <w:szCs w:val="20"/>
          <w:lang w:val="it-IT"/>
        </w:rPr>
        <w:t>unit-linked</w:t>
      </w:r>
      <w:r w:rsidR="00A04F48" w:rsidRPr="00656794">
        <w:rPr>
          <w:rFonts w:ascii="Arial" w:hAnsi="Arial" w:cs="Arial"/>
          <w:color w:val="000000"/>
          <w:sz w:val="20"/>
          <w:szCs w:val="20"/>
          <w:lang w:val="it-IT"/>
        </w:rPr>
        <w:t xml:space="preserve"> possono anche avere prestazioni assicurative collegate ai contratti sottostanti. Alla fine del 2020, ZLAP gestiva oltre 22€</w:t>
      </w:r>
      <w:r w:rsidR="00745847" w:rsidRPr="00656794">
        <w:rPr>
          <w:rFonts w:ascii="Arial" w:hAnsi="Arial" w:cs="Arial"/>
          <w:color w:val="000000"/>
          <w:sz w:val="20"/>
          <w:szCs w:val="20"/>
          <w:lang w:val="it-IT"/>
        </w:rPr>
        <w:t xml:space="preserve"> </w:t>
      </w:r>
      <w:r w:rsidR="00A04F48" w:rsidRPr="00656794">
        <w:rPr>
          <w:rFonts w:ascii="Arial" w:hAnsi="Arial" w:cs="Arial"/>
          <w:color w:val="000000"/>
          <w:sz w:val="20"/>
          <w:szCs w:val="20"/>
          <w:lang w:val="it-IT"/>
        </w:rPr>
        <w:t xml:space="preserve">miliardi di attivi a fronte di polizze </w:t>
      </w:r>
      <w:r w:rsidR="008A525A" w:rsidRPr="00656794">
        <w:rPr>
          <w:rFonts w:ascii="Arial" w:hAnsi="Arial" w:cs="Arial"/>
          <w:color w:val="000000"/>
          <w:sz w:val="20"/>
          <w:szCs w:val="20"/>
          <w:lang w:val="it-IT"/>
        </w:rPr>
        <w:t>unit-linked</w:t>
      </w:r>
      <w:r w:rsidR="00A04F48" w:rsidRPr="00656794">
        <w:rPr>
          <w:rFonts w:ascii="Arial" w:hAnsi="Arial" w:cs="Arial"/>
          <w:color w:val="000000"/>
          <w:sz w:val="20"/>
          <w:szCs w:val="20"/>
          <w:lang w:val="it-IT"/>
        </w:rPr>
        <w:t>.</w:t>
      </w:r>
    </w:p>
    <w:p w14:paraId="73D53B58" w14:textId="62E9C5A1" w:rsidR="00B27DDD" w:rsidRPr="00656794" w:rsidRDefault="00B27DDD" w:rsidP="00745847">
      <w:pPr>
        <w:spacing w:before="272"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4.3 R</w:t>
      </w:r>
      <w:r w:rsidR="00FF6B89" w:rsidRPr="00656794">
        <w:rPr>
          <w:rFonts w:ascii="Arial" w:eastAsia="Times New Roman" w:hAnsi="Arial" w:cs="Arial"/>
          <w:b/>
          <w:bCs/>
          <w:color w:val="00338D"/>
          <w:sz w:val="28"/>
          <w:szCs w:val="28"/>
          <w:lang w:val="it-IT" w:eastAsia="en-IE"/>
        </w:rPr>
        <w:t>iassicurazione</w:t>
      </w:r>
      <w:r w:rsidRPr="00656794">
        <w:rPr>
          <w:rFonts w:ascii="Arial" w:eastAsia="Times New Roman" w:hAnsi="Arial" w:cs="Arial"/>
          <w:b/>
          <w:bCs/>
          <w:color w:val="00338D"/>
          <w:sz w:val="28"/>
          <w:szCs w:val="28"/>
          <w:lang w:val="it-IT" w:eastAsia="en-IE"/>
        </w:rPr>
        <w:t> </w:t>
      </w:r>
    </w:p>
    <w:p w14:paraId="24CBC019"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ZLAP fa un uso diffuso della riassicurazione come mezzo per gestire la propria esposizione al rischio.</w:t>
      </w:r>
    </w:p>
    <w:p w14:paraId="240E51B0" w14:textId="4547C455"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Per quanto riguarda il trasferimento del </w:t>
      </w:r>
      <w:r w:rsidR="00D20690">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esiste un numero limitato di polizze (&lt;100 polizze) che hanno un benefit di protezione che è riassicurato al 50% con la società controllante ZIC. I premi annuali di riassicurazione su questo trattato sono piccoli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ordine di € 10</w:t>
      </w:r>
      <w:r w:rsidR="008A225C">
        <w:rPr>
          <w:rFonts w:ascii="Arial" w:hAnsi="Arial" w:cs="Arial"/>
          <w:color w:val="000000"/>
          <w:sz w:val="20"/>
          <w:szCs w:val="20"/>
          <w:lang w:val="it-IT"/>
        </w:rPr>
        <w:t>.000</w:t>
      </w:r>
      <w:r w:rsidRPr="00656794">
        <w:rPr>
          <w:rFonts w:ascii="Arial" w:hAnsi="Arial" w:cs="Arial"/>
          <w:color w:val="000000"/>
          <w:sz w:val="20"/>
          <w:szCs w:val="20"/>
          <w:lang w:val="it-IT"/>
        </w:rPr>
        <w:t xml:space="preserve"> a € 15</w:t>
      </w:r>
      <w:r w:rsidR="008A225C">
        <w:rPr>
          <w:rFonts w:ascii="Arial" w:hAnsi="Arial" w:cs="Arial"/>
          <w:color w:val="000000"/>
          <w:sz w:val="20"/>
          <w:szCs w:val="20"/>
          <w:lang w:val="it-IT"/>
        </w:rPr>
        <w:t>.000</w:t>
      </w:r>
      <w:r w:rsidRPr="00656794">
        <w:rPr>
          <w:rFonts w:ascii="Arial" w:hAnsi="Arial" w:cs="Arial"/>
          <w:color w:val="000000"/>
          <w:sz w:val="20"/>
          <w:szCs w:val="20"/>
          <w:lang w:val="it-IT"/>
        </w:rPr>
        <w:t xml:space="preserve"> </w:t>
      </w:r>
      <w:r w:rsidR="002F11B4">
        <w:rPr>
          <w:rFonts w:ascii="Arial" w:hAnsi="Arial" w:cs="Arial"/>
          <w:color w:val="000000"/>
          <w:sz w:val="20"/>
          <w:szCs w:val="20"/>
          <w:lang w:val="it-IT"/>
        </w:rPr>
        <w:t>all’anno</w:t>
      </w:r>
      <w:r w:rsidR="00A52CE5">
        <w:rPr>
          <w:rFonts w:ascii="Arial" w:hAnsi="Arial" w:cs="Arial"/>
          <w:color w:val="000000"/>
          <w:sz w:val="20"/>
          <w:szCs w:val="20"/>
          <w:lang w:val="it-IT"/>
        </w:rPr>
        <w:t>.</w:t>
      </w:r>
      <w:r w:rsidRPr="00656794">
        <w:rPr>
          <w:rFonts w:ascii="Arial" w:hAnsi="Arial" w:cs="Arial"/>
          <w:color w:val="000000"/>
          <w:sz w:val="20"/>
          <w:szCs w:val="20"/>
          <w:lang w:val="it-IT"/>
        </w:rPr>
        <w:t xml:space="preserv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accordo di riassicurazione è in fase di cancellazione e non fa parte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09F04098" w14:textId="63D10C68" w:rsidR="00B27DDD" w:rsidRPr="00656794" w:rsidRDefault="00B27DDD" w:rsidP="00745847">
      <w:pPr>
        <w:spacing w:before="283"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lastRenderedPageBreak/>
        <w:t xml:space="preserve">4.4 </w:t>
      </w:r>
      <w:r w:rsidR="00FF6B89" w:rsidRPr="00656794">
        <w:rPr>
          <w:rFonts w:ascii="Arial" w:eastAsia="Times New Roman" w:hAnsi="Arial" w:cs="Arial"/>
          <w:b/>
          <w:bCs/>
          <w:color w:val="00338D"/>
          <w:sz w:val="28"/>
          <w:szCs w:val="28"/>
          <w:lang w:val="it-IT" w:eastAsia="en-IE"/>
        </w:rPr>
        <w:t>Profilo di rischio e gestione</w:t>
      </w:r>
      <w:r w:rsidRPr="00656794">
        <w:rPr>
          <w:rFonts w:ascii="Arial" w:eastAsia="Times New Roman" w:hAnsi="Arial" w:cs="Arial"/>
          <w:b/>
          <w:bCs/>
          <w:color w:val="00338D"/>
          <w:sz w:val="28"/>
          <w:szCs w:val="28"/>
          <w:lang w:val="it-IT" w:eastAsia="en-IE"/>
        </w:rPr>
        <w:t>  </w:t>
      </w:r>
    </w:p>
    <w:p w14:paraId="60EAADF4" w14:textId="02F8F2D4" w:rsidR="00B27DDD" w:rsidRPr="00656794" w:rsidRDefault="00B27DDD" w:rsidP="00745847">
      <w:pPr>
        <w:spacing w:before="137"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4.4.1 </w:t>
      </w:r>
      <w:r w:rsidR="00FF6B89" w:rsidRPr="00656794">
        <w:rPr>
          <w:rFonts w:ascii="Arial" w:eastAsia="Times New Roman" w:hAnsi="Arial" w:cs="Arial"/>
          <w:color w:val="00338D"/>
          <w:sz w:val="24"/>
          <w:szCs w:val="24"/>
          <w:lang w:val="it-IT" w:eastAsia="en-IE"/>
        </w:rPr>
        <w:t>Panoramica dei rischi</w:t>
      </w:r>
    </w:p>
    <w:p w14:paraId="11001F79" w14:textId="32F39F5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ZLAP è </w:t>
      </w:r>
      <w:r w:rsidR="00544C77" w:rsidRPr="00656794">
        <w:rPr>
          <w:rFonts w:ascii="Arial" w:hAnsi="Arial" w:cs="Arial"/>
          <w:color w:val="000000"/>
          <w:sz w:val="20"/>
          <w:szCs w:val="20"/>
          <w:lang w:val="it-IT"/>
        </w:rPr>
        <w:t>espost</w:t>
      </w:r>
      <w:r w:rsidR="00544C77">
        <w:rPr>
          <w:rFonts w:ascii="Arial" w:hAnsi="Arial" w:cs="Arial"/>
          <w:color w:val="000000"/>
          <w:sz w:val="20"/>
          <w:szCs w:val="20"/>
          <w:lang w:val="it-IT"/>
        </w:rPr>
        <w:t>a</w:t>
      </w:r>
      <w:r w:rsidR="00544C77"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a una serie di rischi che separa per natura e gestisce attraverso un approccio sistematico di gestione del rischio. I principali rischi, come indicato dal Solvency and Financial Condition Report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SFCR</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di ZLAP 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della documentazione in relazione al suo </w:t>
      </w:r>
      <w:r w:rsidR="005E55EE" w:rsidRPr="00656794">
        <w:rPr>
          <w:rFonts w:ascii="Arial" w:hAnsi="Arial" w:cs="Arial"/>
          <w:color w:val="000000"/>
          <w:sz w:val="20"/>
          <w:szCs w:val="20"/>
          <w:lang w:val="it-IT"/>
        </w:rPr>
        <w:t>quadro</w:t>
      </w:r>
      <w:r w:rsidRPr="00656794">
        <w:rPr>
          <w:rFonts w:ascii="Arial" w:hAnsi="Arial" w:cs="Arial"/>
          <w:color w:val="000000"/>
          <w:sz w:val="20"/>
          <w:szCs w:val="20"/>
          <w:lang w:val="it-IT"/>
        </w:rPr>
        <w:t xml:space="preserve"> di gestione del rischio, sono descritti di seguito, ma va notato che le polizze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sono relativamente irrilevanti </w:t>
      </w:r>
      <w:r w:rsidR="00745847" w:rsidRPr="00656794">
        <w:rPr>
          <w:rFonts w:ascii="Arial" w:hAnsi="Arial" w:cs="Arial"/>
          <w:color w:val="000000"/>
          <w:sz w:val="20"/>
          <w:szCs w:val="20"/>
          <w:lang w:val="it-IT"/>
        </w:rPr>
        <w:t>n</w:t>
      </w:r>
      <w:r w:rsidRPr="00656794">
        <w:rPr>
          <w:rFonts w:ascii="Arial" w:hAnsi="Arial" w:cs="Arial"/>
          <w:color w:val="000000"/>
          <w:sz w:val="20"/>
          <w:szCs w:val="20"/>
          <w:lang w:val="it-IT"/>
        </w:rPr>
        <w:t>el contesto del profilo di rischio complessivo di ZLAP e non contribuiscono in modo significativo a questi:</w:t>
      </w:r>
    </w:p>
    <w:p w14:paraId="4CC416DC"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Rischio di mercato, in particolare rischi di azioni, valute, tassi di interesse e spread:</w:t>
      </w:r>
    </w:p>
    <w:p w14:paraId="19ADCEB7" w14:textId="4734A6AB" w:rsidR="00B27DDD" w:rsidRPr="00656794" w:rsidRDefault="00B27DDD" w:rsidP="00DB4ED1">
      <w:pPr>
        <w:pStyle w:val="NormalWeb"/>
        <w:numPr>
          <w:ilvl w:val="0"/>
          <w:numId w:val="24"/>
        </w:numPr>
        <w:ind w:right="102"/>
        <w:jc w:val="both"/>
        <w:rPr>
          <w:rFonts w:ascii="Arial" w:hAnsi="Arial" w:cs="Arial"/>
          <w:color w:val="000000"/>
          <w:sz w:val="20"/>
          <w:szCs w:val="20"/>
          <w:lang w:val="it-IT"/>
        </w:rPr>
      </w:pPr>
      <w:r w:rsidRPr="00656794">
        <w:rPr>
          <w:rFonts w:ascii="Arial" w:hAnsi="Arial" w:cs="Arial"/>
          <w:color w:val="000000"/>
          <w:sz w:val="20"/>
          <w:szCs w:val="20"/>
          <w:lang w:val="it-IT"/>
        </w:rPr>
        <w:t>Il rischio azionario deriva dalle fluttuazioni dei prezzi dei titoli azionari. ZLAP non detiene quantità significative di azioni direttamente, ma ha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esposizione indiretta al rischio azionario sulla sua attività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Poiché ZLAP riceve una commissione sulle attività </w:t>
      </w:r>
      <w:r w:rsidR="008C4663">
        <w:rPr>
          <w:rFonts w:ascii="Arial" w:hAnsi="Arial" w:cs="Arial"/>
          <w:color w:val="000000"/>
          <w:sz w:val="20"/>
          <w:szCs w:val="20"/>
          <w:lang w:val="it-IT"/>
        </w:rPr>
        <w:t>unit-linked</w:t>
      </w:r>
      <w:r w:rsidRPr="00656794">
        <w:rPr>
          <w:rFonts w:ascii="Arial" w:hAnsi="Arial" w:cs="Arial"/>
          <w:color w:val="000000"/>
          <w:sz w:val="20"/>
          <w:szCs w:val="20"/>
          <w:lang w:val="it-IT"/>
        </w:rPr>
        <w:t xml:space="preserve"> che è proporzionale al valore delle attività in gestione, le variazioni del valore delle attività sottostanti possono influire sulle commissioni di ZLAP.</w:t>
      </w:r>
    </w:p>
    <w:p w14:paraId="3BDFFF53" w14:textId="5B495796" w:rsidR="00B27DDD" w:rsidRPr="00656794" w:rsidRDefault="00B27DDD" w:rsidP="00DB4ED1">
      <w:pPr>
        <w:pStyle w:val="NormalWeb"/>
        <w:numPr>
          <w:ilvl w:val="0"/>
          <w:numId w:val="24"/>
        </w:numPr>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Il rischio di cambio è il rischio di perdita dovuta alle variazioni dei tassi di cambio e si presenta per le stesse ragioni del rischio azionario, vale a dire la perdita di commissioni quando le attività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sono investite in attività non denominate in euro.</w:t>
      </w:r>
    </w:p>
    <w:p w14:paraId="1B52D983" w14:textId="443C7815" w:rsidR="00B27DDD" w:rsidRPr="00656794" w:rsidRDefault="00B27DDD" w:rsidP="00DB4ED1">
      <w:pPr>
        <w:pStyle w:val="NormalWeb"/>
        <w:numPr>
          <w:ilvl w:val="0"/>
          <w:numId w:val="24"/>
        </w:numPr>
        <w:ind w:right="102"/>
        <w:jc w:val="both"/>
        <w:rPr>
          <w:rFonts w:ascii="Arial" w:hAnsi="Arial" w:cs="Arial"/>
          <w:color w:val="000000"/>
          <w:sz w:val="20"/>
          <w:szCs w:val="20"/>
          <w:lang w:val="it-IT"/>
        </w:rPr>
      </w:pPr>
      <w:r w:rsidRPr="00656794">
        <w:rPr>
          <w:rFonts w:ascii="Arial" w:hAnsi="Arial" w:cs="Arial"/>
          <w:color w:val="000000"/>
          <w:sz w:val="20"/>
          <w:szCs w:val="20"/>
          <w:lang w:val="it-IT"/>
        </w:rPr>
        <w:t>Il rischio di tasso di interesse è il rischio di perdita dovuta alle variazioni dei tassi di interesse e si verifica per ZLAP poiché le attività detenute (sia direttamente detenute da ZLAP che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dei fondi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possono essere influenzate negativamente dai movimenti dei tassi di interesse. ZLAP utilizza un processo di abbinamento attività-passività per gestire il rischio di tasso di interesse.</w:t>
      </w:r>
    </w:p>
    <w:p w14:paraId="546F3F92" w14:textId="206ECE5C" w:rsidR="00B27DDD" w:rsidRPr="00656794" w:rsidRDefault="00B27DDD" w:rsidP="00DB4ED1">
      <w:pPr>
        <w:pStyle w:val="NormalWeb"/>
        <w:numPr>
          <w:ilvl w:val="0"/>
          <w:numId w:val="24"/>
        </w:numPr>
        <w:ind w:right="102"/>
        <w:jc w:val="both"/>
        <w:rPr>
          <w:rFonts w:ascii="Arial" w:hAnsi="Arial" w:cs="Arial"/>
          <w:color w:val="000000"/>
          <w:sz w:val="20"/>
          <w:szCs w:val="20"/>
          <w:lang w:val="it-IT"/>
        </w:rPr>
      </w:pPr>
      <w:r w:rsidRPr="00656794">
        <w:rPr>
          <w:rFonts w:ascii="Arial" w:hAnsi="Arial" w:cs="Arial"/>
          <w:color w:val="000000"/>
          <w:sz w:val="20"/>
          <w:szCs w:val="20"/>
          <w:lang w:val="it-IT"/>
        </w:rPr>
        <w:t>Il rischio di spread è il rischio derivante dalle variazioni del livello o dalla volatilità degli spread creditizi che incidono sul valore delle attività e deriva per ZLAP dalla loro esposizione alle attività obbligazionarie.</w:t>
      </w:r>
    </w:p>
    <w:p w14:paraId="4AE69ABB" w14:textId="44CD53C8"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Il rischio di sottoscrizione di assicurazioni sulla vita si presenta principalmente per ZLAP rispetto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al rischio di decadenza in cui i tassi di scadenza sono superiori al previsto e anche il rischio di una base di costo crescente (ad esempio, spese di rinnovo crescenti). In caso contrario,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di ZLAP al rischio di sottoscrizione di mortalità o morbilità viene gestita attraverso il ricorso alla riassicurazione.</w:t>
      </w:r>
    </w:p>
    <w:p w14:paraId="0BCAD7D8" w14:textId="5F56F7C9"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Il rischio di insolvenza del credito è un rischio significativo per ZLAP e deriva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di ZLAP ai riassicuratori e dai suoi investimenti in attività come obbligazioni e depositi bancari.</w:t>
      </w:r>
    </w:p>
    <w:p w14:paraId="7FC7401F" w14:textId="45277EFA"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Il rischio operativo esiste anche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universo dei rischi di ZLAP; la complessità e la portata del business possono guidare tali esposizioni, che sono gestite attraverso controlli interni e lo stesso </w:t>
      </w:r>
      <w:r w:rsidR="005E55EE" w:rsidRPr="00656794">
        <w:rPr>
          <w:rFonts w:ascii="Arial" w:hAnsi="Arial" w:cs="Arial"/>
          <w:color w:val="000000"/>
          <w:sz w:val="20"/>
          <w:szCs w:val="20"/>
          <w:lang w:val="it-IT"/>
        </w:rPr>
        <w:t>quadro</w:t>
      </w:r>
      <w:r w:rsidRPr="00656794">
        <w:rPr>
          <w:rFonts w:ascii="Arial" w:hAnsi="Arial" w:cs="Arial"/>
          <w:color w:val="000000"/>
          <w:sz w:val="20"/>
          <w:szCs w:val="20"/>
          <w:lang w:val="it-IT"/>
        </w:rPr>
        <w:t xml:space="preserve"> di gestione del rischio.</w:t>
      </w:r>
    </w:p>
    <w:p w14:paraId="19F3F07B"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Altri rischi a cui ZLAP è esposta e che sono supervisionati dal Consiglio e gestiti attivamente da ZLAP includono:</w:t>
      </w:r>
    </w:p>
    <w:p w14:paraId="7404FB3C" w14:textId="77777777" w:rsidR="00EE422F"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Rischi strategici (legati alla potenziale incapacità di raggiungere gli obiettivi strategici); </w:t>
      </w:r>
    </w:p>
    <w:p w14:paraId="3E5D650B" w14:textId="3A1C8AC8"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Rischio di condotta (il rischio di perdite finanziarie dovute a condurre affari in un modo che tratta i clienti in modo sleale o provoca danni ai clienti);</w:t>
      </w:r>
    </w:p>
    <w:p w14:paraId="1FFA1FFB" w14:textId="71B5EACC"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Rischio di dipendenza </w:t>
      </w:r>
      <w:r w:rsidR="00745847" w:rsidRPr="00656794">
        <w:rPr>
          <w:rFonts w:ascii="Arial" w:hAnsi="Arial" w:cs="Arial"/>
          <w:color w:val="000000"/>
          <w:sz w:val="20"/>
          <w:szCs w:val="20"/>
          <w:lang w:val="it-IT"/>
        </w:rPr>
        <w:t>infragruppo</w:t>
      </w:r>
      <w:r w:rsidRPr="00656794">
        <w:rPr>
          <w:rFonts w:ascii="Arial" w:hAnsi="Arial" w:cs="Arial"/>
          <w:color w:val="000000"/>
          <w:sz w:val="20"/>
          <w:szCs w:val="20"/>
          <w:lang w:val="it-IT"/>
        </w:rPr>
        <w:t xml:space="preserve"> (il rischio di perdita e/o interruzione derivante dal fatto che il Gruppo Zurich o una società del Gruppo incontri difficoltà finanziarie, o dalla mancata fornitura di servizi chiave in outsourcing a ZLAP);</w:t>
      </w:r>
    </w:p>
    <w:p w14:paraId="40BC81C0" w14:textId="77777777" w:rsidR="00EE422F"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Rischio di sostenibilità (il rischio di non raggiungere obiettivi di sostenibilità o responsabilità d</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impresa); </w:t>
      </w:r>
    </w:p>
    <w:p w14:paraId="59A99083" w14:textId="7E27322A"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Rischi emergenti (rischi esistenti o nuovi derivanti da cambiamenti interni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attività o da fattori esterni);</w:t>
      </w:r>
    </w:p>
    <w:p w14:paraId="5919D17F" w14:textId="2FBCC38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Rischio geopolitico (il rischio di perdita derivante dalle politiche sociali </w:t>
      </w:r>
      <w:r w:rsidR="00264B8D" w:rsidRPr="00656794">
        <w:rPr>
          <w:rFonts w:ascii="Arial" w:hAnsi="Arial" w:cs="Arial"/>
          <w:color w:val="000000"/>
          <w:sz w:val="20"/>
          <w:szCs w:val="20"/>
          <w:lang w:val="it-IT"/>
        </w:rPr>
        <w:t xml:space="preserve">o politiche </w:t>
      </w:r>
      <w:r w:rsidRPr="00656794">
        <w:rPr>
          <w:rFonts w:ascii="Arial" w:hAnsi="Arial" w:cs="Arial"/>
          <w:color w:val="000000"/>
          <w:sz w:val="20"/>
          <w:szCs w:val="20"/>
          <w:lang w:val="it-IT"/>
        </w:rPr>
        <w:t>adottate dai governi o da altri gruppi influenti o</w:t>
      </w:r>
      <w:r w:rsidR="00745847"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a seguito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incertezza che creano);</w:t>
      </w:r>
    </w:p>
    <w:p w14:paraId="4E86E228"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Rischi relativi al regime pensionistico del personale; e</w:t>
      </w:r>
    </w:p>
    <w:p w14:paraId="6C2F7D1E" w14:textId="196B852D"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Rischi per la sicurezza delle informazioni (rischio di attacchi informatici e protezione dei dati dei clienti).</w:t>
      </w:r>
    </w:p>
    <w:p w14:paraId="56315ED1" w14:textId="36416032" w:rsidR="00B27DDD" w:rsidRPr="00656794" w:rsidRDefault="00B27DDD" w:rsidP="00DB4ED1">
      <w:pPr>
        <w:spacing w:before="58" w:after="0" w:line="240" w:lineRule="auto"/>
        <w:ind w:right="1483"/>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4.4.2 </w:t>
      </w:r>
      <w:r w:rsidR="00785ADD" w:rsidRPr="00656794">
        <w:rPr>
          <w:rFonts w:ascii="Arial" w:eastAsia="Times New Roman" w:hAnsi="Arial" w:cs="Arial"/>
          <w:color w:val="00338D"/>
          <w:sz w:val="24"/>
          <w:szCs w:val="24"/>
          <w:lang w:val="it-IT" w:eastAsia="en-IE"/>
        </w:rPr>
        <w:t xml:space="preserve">Quadro di </w:t>
      </w:r>
      <w:r w:rsidR="00A32633" w:rsidRPr="00656794">
        <w:rPr>
          <w:rFonts w:ascii="Arial" w:eastAsia="Times New Roman" w:hAnsi="Arial" w:cs="Arial"/>
          <w:color w:val="00338D"/>
          <w:sz w:val="24"/>
          <w:szCs w:val="24"/>
          <w:lang w:val="it-IT" w:eastAsia="en-IE"/>
        </w:rPr>
        <w:t>Gestione del Rischio</w:t>
      </w:r>
      <w:r w:rsidR="00264B8D" w:rsidRPr="00656794">
        <w:rPr>
          <w:rFonts w:ascii="Arial" w:eastAsia="Times New Roman" w:hAnsi="Arial" w:cs="Arial"/>
          <w:color w:val="00338D"/>
          <w:sz w:val="24"/>
          <w:szCs w:val="24"/>
          <w:lang w:val="it-IT" w:eastAsia="en-IE"/>
        </w:rPr>
        <w:t xml:space="preserve"> </w:t>
      </w:r>
    </w:p>
    <w:p w14:paraId="4CE0CA64" w14:textId="6E187C6F"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Per facilitare un approccio strutturato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assunzione di rischi, è stato documentato e integrato nel sistema di governance di ZLAP un </w:t>
      </w:r>
      <w:r w:rsidR="005E55EE" w:rsidRPr="00656794">
        <w:rPr>
          <w:rFonts w:ascii="Arial" w:hAnsi="Arial" w:cs="Arial"/>
          <w:color w:val="000000"/>
          <w:sz w:val="20"/>
          <w:szCs w:val="20"/>
          <w:lang w:val="it-IT"/>
        </w:rPr>
        <w:t>quadro</w:t>
      </w:r>
      <w:r w:rsidRPr="00656794">
        <w:rPr>
          <w:rFonts w:ascii="Arial" w:hAnsi="Arial" w:cs="Arial"/>
          <w:color w:val="000000"/>
          <w:sz w:val="20"/>
          <w:szCs w:val="20"/>
          <w:lang w:val="it-IT"/>
        </w:rPr>
        <w:t xml:space="preserve"> di Enterprise </w:t>
      </w:r>
      <w:r w:rsidR="008C4663">
        <w:rPr>
          <w:rFonts w:ascii="Arial" w:hAnsi="Arial" w:cs="Arial"/>
          <w:color w:val="000000"/>
          <w:sz w:val="20"/>
          <w:szCs w:val="20"/>
          <w:lang w:val="it-IT"/>
        </w:rPr>
        <w:t>Risk Management</w:t>
      </w:r>
      <w:r w:rsidR="00264B8D"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(ERM). Ho esaminato il </w:t>
      </w:r>
      <w:r w:rsidR="005E55EE" w:rsidRPr="00656794">
        <w:rPr>
          <w:rFonts w:ascii="Arial" w:hAnsi="Arial" w:cs="Arial"/>
          <w:color w:val="000000"/>
          <w:sz w:val="20"/>
          <w:szCs w:val="20"/>
          <w:lang w:val="it-IT"/>
        </w:rPr>
        <w:t>quadro</w:t>
      </w:r>
      <w:r w:rsidRPr="00656794">
        <w:rPr>
          <w:rFonts w:ascii="Arial" w:hAnsi="Arial" w:cs="Arial"/>
          <w:color w:val="000000"/>
          <w:sz w:val="20"/>
          <w:szCs w:val="20"/>
          <w:lang w:val="it-IT"/>
        </w:rPr>
        <w:t xml:space="preserve"> ERM generale, notando che è strutturato attorno a un modello di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tre linee di difesa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e ha molte delle caratteristiche che mi aspetterei da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entità delle dimensioni e della scala di ZLAP. Nessun problema materiale è stato notato come parte della mia </w:t>
      </w:r>
      <w:r w:rsidR="008C4663" w:rsidRPr="00656794">
        <w:rPr>
          <w:rFonts w:ascii="Arial" w:hAnsi="Arial" w:cs="Arial"/>
          <w:color w:val="000000"/>
          <w:sz w:val="20"/>
          <w:szCs w:val="20"/>
          <w:lang w:val="it-IT"/>
        </w:rPr>
        <w:t>revisione</w:t>
      </w:r>
      <w:r w:rsidRPr="00656794">
        <w:rPr>
          <w:rFonts w:ascii="Arial" w:hAnsi="Arial" w:cs="Arial"/>
          <w:color w:val="000000"/>
          <w:sz w:val="20"/>
          <w:szCs w:val="20"/>
          <w:lang w:val="it-IT"/>
        </w:rPr>
        <w:t>, ma ho commentato alcuni componenti specifici del quadro più ampio di seguito.</w:t>
      </w:r>
    </w:p>
    <w:p w14:paraId="4F2FDF6E" w14:textId="39991427" w:rsidR="00B27DDD" w:rsidRPr="00656794" w:rsidRDefault="00B27DDD" w:rsidP="00DB4ED1">
      <w:pPr>
        <w:spacing w:before="144"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4.4.3 </w:t>
      </w:r>
      <w:r w:rsidR="000A6E2A" w:rsidRPr="00656794">
        <w:rPr>
          <w:rFonts w:ascii="Arial" w:eastAsia="Times New Roman" w:hAnsi="Arial" w:cs="Arial"/>
          <w:color w:val="00338D"/>
          <w:sz w:val="24"/>
          <w:szCs w:val="24"/>
          <w:lang w:val="it-IT" w:eastAsia="en-IE"/>
        </w:rPr>
        <w:t>Propensione al rischio</w:t>
      </w:r>
      <w:r w:rsidRPr="00656794">
        <w:rPr>
          <w:rFonts w:ascii="Arial" w:eastAsia="Times New Roman" w:hAnsi="Arial" w:cs="Arial"/>
          <w:color w:val="00338D"/>
          <w:sz w:val="24"/>
          <w:szCs w:val="24"/>
          <w:lang w:val="it-IT" w:eastAsia="en-IE"/>
        </w:rPr>
        <w:t> </w:t>
      </w:r>
    </w:p>
    <w:p w14:paraId="3EB4BDB1" w14:textId="5557C531"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Come parte del suo più ampio quadro ERM, ZLAP ha stabilito una dichiarazione di propensione al rischio, che ha lo scopo di consentire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azienda di gestire il proprio sistema ERM in modo controllato.</w:t>
      </w:r>
    </w:p>
    <w:p w14:paraId="36DDFD27"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Dichiarazione sulla propensione al rischio descrive la volontà e la capacità di ZLAP di assumersi dei rischi, in base al capitale disponibile di ZLAP, il desiderio di ZLAP di bilanciare rischio e rendimento e il desiderio di ZLAP di proteggere il proprio marchio e la propria reputazione.</w:t>
      </w:r>
    </w:p>
    <w:p w14:paraId="7D459070" w14:textId="3C6A95E0" w:rsidR="00B27DDD" w:rsidRPr="00656794" w:rsidRDefault="008C4663" w:rsidP="00B27DDD">
      <w:pPr>
        <w:pStyle w:val="NormalWeb"/>
        <w:ind w:right="102"/>
        <w:jc w:val="both"/>
        <w:rPr>
          <w:rFonts w:ascii="Arial" w:hAnsi="Arial" w:cs="Arial"/>
          <w:color w:val="000000"/>
          <w:sz w:val="20"/>
          <w:szCs w:val="20"/>
          <w:lang w:val="it-IT"/>
        </w:rPr>
      </w:pPr>
      <w:r>
        <w:rPr>
          <w:rFonts w:ascii="Arial" w:hAnsi="Arial" w:cs="Arial"/>
          <w:color w:val="000000"/>
          <w:sz w:val="20"/>
          <w:szCs w:val="20"/>
          <w:lang w:val="it-IT"/>
        </w:rPr>
        <w:t xml:space="preserve">La gestione del rischio </w:t>
      </w:r>
      <w:r w:rsidR="00B27DDD" w:rsidRPr="00656794">
        <w:rPr>
          <w:rFonts w:ascii="Arial" w:hAnsi="Arial" w:cs="Arial"/>
          <w:color w:val="000000"/>
          <w:sz w:val="20"/>
          <w:szCs w:val="20"/>
          <w:lang w:val="it-IT"/>
        </w:rPr>
        <w:t>di ZLAP considera l</w:t>
      </w:r>
      <w:r w:rsidR="00F23A40" w:rsidRPr="00656794">
        <w:rPr>
          <w:rFonts w:ascii="Arial" w:hAnsi="Arial" w:cs="Arial"/>
          <w:color w:val="000000"/>
          <w:sz w:val="20"/>
          <w:szCs w:val="20"/>
          <w:lang w:val="it-IT"/>
        </w:rPr>
        <w:t>’</w:t>
      </w:r>
      <w:r w:rsidR="00B27DDD" w:rsidRPr="00656794">
        <w:rPr>
          <w:rFonts w:ascii="Arial" w:hAnsi="Arial" w:cs="Arial"/>
          <w:color w:val="000000"/>
          <w:sz w:val="20"/>
          <w:szCs w:val="20"/>
          <w:lang w:val="it-IT"/>
        </w:rPr>
        <w:t>universo di rischio a cui ZLAP è esposto e</w:t>
      </w:r>
      <w:r>
        <w:rPr>
          <w:rFonts w:ascii="Arial" w:hAnsi="Arial" w:cs="Arial"/>
          <w:color w:val="000000"/>
          <w:sz w:val="20"/>
          <w:szCs w:val="20"/>
          <w:lang w:val="it-IT"/>
        </w:rPr>
        <w:t>d</w:t>
      </w:r>
      <w:r w:rsidR="00B27DDD" w:rsidRPr="00656794">
        <w:rPr>
          <w:rFonts w:ascii="Arial" w:hAnsi="Arial" w:cs="Arial"/>
          <w:color w:val="000000"/>
          <w:sz w:val="20"/>
          <w:szCs w:val="20"/>
          <w:lang w:val="it-IT"/>
        </w:rPr>
        <w:t xml:space="preserve"> il livello aggregato di rischio che ZLAP è disposto </w:t>
      </w:r>
      <w:r>
        <w:rPr>
          <w:rFonts w:ascii="Arial" w:hAnsi="Arial" w:cs="Arial"/>
          <w:color w:val="000000"/>
          <w:sz w:val="20"/>
          <w:szCs w:val="20"/>
          <w:lang w:val="it-IT"/>
        </w:rPr>
        <w:t xml:space="preserve">ad assumere </w:t>
      </w:r>
      <w:r w:rsidR="00B27DDD" w:rsidRPr="00656794">
        <w:rPr>
          <w:rFonts w:ascii="Arial" w:hAnsi="Arial" w:cs="Arial"/>
          <w:color w:val="000000"/>
          <w:sz w:val="20"/>
          <w:szCs w:val="20"/>
          <w:lang w:val="it-IT"/>
        </w:rPr>
        <w:t>e</w:t>
      </w:r>
      <w:r>
        <w:rPr>
          <w:rFonts w:ascii="Arial" w:hAnsi="Arial" w:cs="Arial"/>
          <w:color w:val="000000"/>
          <w:sz w:val="20"/>
          <w:szCs w:val="20"/>
          <w:lang w:val="it-IT"/>
        </w:rPr>
        <w:t>d</w:t>
      </w:r>
      <w:r w:rsidR="00B27DDD" w:rsidRPr="00656794">
        <w:rPr>
          <w:rFonts w:ascii="Arial" w:hAnsi="Arial" w:cs="Arial"/>
          <w:color w:val="000000"/>
          <w:sz w:val="20"/>
          <w:szCs w:val="20"/>
          <w:lang w:val="it-IT"/>
        </w:rPr>
        <w:t xml:space="preserve"> ha la capacità di assumere per raggiungere i suoi obiettivi strategici.</w:t>
      </w:r>
    </w:p>
    <w:p w14:paraId="74DB3F72" w14:textId="60048D69"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Nessun problema è stato notato come parte della mia </w:t>
      </w:r>
      <w:r w:rsidR="008C4663">
        <w:rPr>
          <w:rFonts w:ascii="Arial" w:hAnsi="Arial" w:cs="Arial"/>
          <w:color w:val="000000"/>
          <w:sz w:val="20"/>
          <w:szCs w:val="20"/>
          <w:lang w:val="it-IT"/>
        </w:rPr>
        <w:t>revisione</w:t>
      </w:r>
      <w:r w:rsidRPr="00656794">
        <w:rPr>
          <w:rFonts w:ascii="Arial" w:hAnsi="Arial" w:cs="Arial"/>
          <w:color w:val="000000"/>
          <w:sz w:val="20"/>
          <w:szCs w:val="20"/>
          <w:lang w:val="it-IT"/>
        </w:rPr>
        <w:t>.</w:t>
      </w:r>
    </w:p>
    <w:p w14:paraId="13A75197" w14:textId="6683EEFD" w:rsidR="00B27DDD" w:rsidRPr="00656794" w:rsidRDefault="00B27DDD" w:rsidP="009051E2">
      <w:pPr>
        <w:spacing w:before="136" w:after="0" w:line="240" w:lineRule="auto"/>
        <w:rPr>
          <w:rFonts w:ascii="Arial" w:eastAsia="Times New Roman" w:hAnsi="Arial" w:cs="Arial"/>
          <w:color w:val="00338D"/>
          <w:sz w:val="24"/>
          <w:szCs w:val="24"/>
          <w:lang w:val="it-IT" w:eastAsia="en-IE"/>
        </w:rPr>
      </w:pPr>
      <w:r w:rsidRPr="00656794">
        <w:rPr>
          <w:rFonts w:ascii="Arial" w:eastAsia="Times New Roman" w:hAnsi="Arial" w:cs="Arial"/>
          <w:color w:val="00338D"/>
          <w:sz w:val="24"/>
          <w:szCs w:val="24"/>
          <w:lang w:val="it-IT" w:eastAsia="en-IE"/>
        </w:rPr>
        <w:t xml:space="preserve">4.4.4 </w:t>
      </w:r>
      <w:r w:rsidR="000A6E2A" w:rsidRPr="00656794">
        <w:rPr>
          <w:rFonts w:ascii="Arial" w:eastAsia="Times New Roman" w:hAnsi="Arial" w:cs="Arial"/>
          <w:color w:val="00338D"/>
          <w:sz w:val="24"/>
          <w:szCs w:val="24"/>
          <w:lang w:val="it-IT" w:eastAsia="en-IE"/>
        </w:rPr>
        <w:t>Sensi</w:t>
      </w:r>
      <w:r w:rsidR="009051E2" w:rsidRPr="00656794">
        <w:rPr>
          <w:rFonts w:ascii="Arial" w:eastAsia="Times New Roman" w:hAnsi="Arial" w:cs="Arial"/>
          <w:color w:val="00338D"/>
          <w:sz w:val="24"/>
          <w:szCs w:val="24"/>
          <w:lang w:val="it-IT" w:eastAsia="en-IE"/>
        </w:rPr>
        <w:t>bilità al rischio</w:t>
      </w:r>
      <w:r w:rsidRPr="00656794">
        <w:rPr>
          <w:rFonts w:ascii="Arial" w:eastAsia="Times New Roman" w:hAnsi="Arial" w:cs="Arial"/>
          <w:color w:val="00338D"/>
          <w:sz w:val="24"/>
          <w:szCs w:val="24"/>
          <w:lang w:val="it-IT" w:eastAsia="en-IE"/>
        </w:rPr>
        <w:t> </w:t>
      </w:r>
    </w:p>
    <w:p w14:paraId="2FBA22FE" w14:textId="6350566C"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Mi è </w:t>
      </w:r>
      <w:r w:rsidR="00873641" w:rsidRPr="00656794">
        <w:rPr>
          <w:rFonts w:ascii="Arial" w:hAnsi="Arial" w:cs="Arial"/>
          <w:color w:val="000000"/>
          <w:sz w:val="20"/>
          <w:szCs w:val="20"/>
          <w:lang w:val="it-IT"/>
        </w:rPr>
        <w:t>stat</w:t>
      </w:r>
      <w:r w:rsidR="00873641">
        <w:rPr>
          <w:rFonts w:ascii="Arial" w:hAnsi="Arial" w:cs="Arial"/>
          <w:color w:val="000000"/>
          <w:sz w:val="20"/>
          <w:szCs w:val="20"/>
          <w:lang w:val="it-IT"/>
        </w:rPr>
        <w:t>a</w:t>
      </w:r>
      <w:r w:rsidR="00873641" w:rsidRPr="00656794">
        <w:rPr>
          <w:rFonts w:ascii="Arial" w:hAnsi="Arial" w:cs="Arial"/>
          <w:color w:val="000000"/>
          <w:sz w:val="20"/>
          <w:szCs w:val="20"/>
          <w:lang w:val="it-IT"/>
        </w:rPr>
        <w:t xml:space="preserve"> fornit</w:t>
      </w:r>
      <w:r w:rsidR="00873641">
        <w:rPr>
          <w:rFonts w:ascii="Arial" w:hAnsi="Arial" w:cs="Arial"/>
          <w:color w:val="000000"/>
          <w:sz w:val="20"/>
          <w:szCs w:val="20"/>
          <w:lang w:val="it-IT"/>
        </w:rPr>
        <w:t>a</w:t>
      </w:r>
      <w:r w:rsidR="00873641" w:rsidRPr="00656794">
        <w:rPr>
          <w:rFonts w:ascii="Arial" w:hAnsi="Arial" w:cs="Arial"/>
          <w:color w:val="000000"/>
          <w:sz w:val="20"/>
          <w:szCs w:val="20"/>
          <w:lang w:val="it-IT"/>
        </w:rPr>
        <w:t xml:space="preserve"> </w:t>
      </w:r>
      <w:r w:rsidR="00525C00" w:rsidRPr="00656794">
        <w:rPr>
          <w:rFonts w:ascii="Arial" w:hAnsi="Arial" w:cs="Arial"/>
          <w:color w:val="000000"/>
          <w:sz w:val="20"/>
          <w:szCs w:val="20"/>
          <w:lang w:val="it-IT"/>
        </w:rPr>
        <w:t>la Relazione</w:t>
      </w:r>
      <w:r w:rsidRPr="00656794">
        <w:rPr>
          <w:rFonts w:ascii="Arial" w:hAnsi="Arial" w:cs="Arial"/>
          <w:color w:val="000000"/>
          <w:sz w:val="20"/>
          <w:szCs w:val="20"/>
          <w:lang w:val="it-IT"/>
        </w:rPr>
        <w:t xml:space="preserve"> sul processo di Own Risk and Solvency Assessment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di ZLAP.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 è previsto dal regime normativo Solvency II che si applica alle compagnie di assicurazione sulla vita in Europa e richiede a</w:t>
      </w:r>
      <w:r w:rsidR="008C4663">
        <w:rPr>
          <w:rFonts w:ascii="Arial" w:hAnsi="Arial" w:cs="Arial"/>
          <w:color w:val="000000"/>
          <w:sz w:val="20"/>
          <w:szCs w:val="20"/>
          <w:lang w:val="it-IT"/>
        </w:rPr>
        <w:t>d</w:t>
      </w:r>
      <w:r w:rsidRPr="00656794">
        <w:rPr>
          <w:rFonts w:ascii="Arial" w:hAnsi="Arial" w:cs="Arial"/>
          <w:color w:val="000000"/>
          <w:sz w:val="20"/>
          <w:szCs w:val="20"/>
          <w:lang w:val="it-IT"/>
        </w:rPr>
        <w:t xml:space="preserve">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entità di considerare i propri requisiti patrimoniali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al rischio. Si prevede inoltre che ORSA illustri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entità ai rischi chiave eseguendo una serie di </w:t>
      </w:r>
      <w:r w:rsidR="002549D3">
        <w:rPr>
          <w:rFonts w:ascii="Arial" w:hAnsi="Arial" w:cs="Arial"/>
          <w:color w:val="000000"/>
          <w:sz w:val="20"/>
          <w:szCs w:val="20"/>
          <w:lang w:val="it-IT"/>
        </w:rPr>
        <w:t>test</w:t>
      </w:r>
      <w:r w:rsidR="002549D3"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di stress e di scenario.</w:t>
      </w:r>
    </w:p>
    <w:p w14:paraId="12DD2851" w14:textId="596A3FB4" w:rsidR="00B27DDD" w:rsidRPr="00656794" w:rsidRDefault="008C4663"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L’ultim</w:t>
      </w:r>
      <w:r w:rsidR="00D23E73">
        <w:rPr>
          <w:rFonts w:ascii="Arial" w:hAnsi="Arial" w:cs="Arial"/>
          <w:color w:val="000000"/>
          <w:sz w:val="20"/>
          <w:szCs w:val="20"/>
          <w:lang w:val="it-IT"/>
        </w:rPr>
        <w:t>o rapporto ORSA</w:t>
      </w:r>
      <w:r w:rsidR="00B27DDD"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approvat</w:t>
      </w:r>
      <w:r w:rsidR="00D23E73">
        <w:rPr>
          <w:rFonts w:ascii="Arial" w:hAnsi="Arial" w:cs="Arial"/>
          <w:color w:val="000000"/>
          <w:sz w:val="20"/>
          <w:szCs w:val="20"/>
          <w:lang w:val="it-IT"/>
        </w:rPr>
        <w:t xml:space="preserve">o </w:t>
      </w:r>
      <w:r w:rsidR="00B27DDD" w:rsidRPr="00656794">
        <w:rPr>
          <w:rFonts w:ascii="Arial" w:hAnsi="Arial" w:cs="Arial"/>
          <w:color w:val="000000"/>
          <w:sz w:val="20"/>
          <w:szCs w:val="20"/>
          <w:lang w:val="it-IT"/>
        </w:rPr>
        <w:t xml:space="preserve">da ZLAP è </w:t>
      </w:r>
      <w:r w:rsidR="00666CE8" w:rsidRPr="00656794">
        <w:rPr>
          <w:rFonts w:ascii="Arial" w:hAnsi="Arial" w:cs="Arial"/>
          <w:color w:val="000000"/>
          <w:sz w:val="20"/>
          <w:szCs w:val="20"/>
          <w:lang w:val="it-IT"/>
        </w:rPr>
        <w:t>stat</w:t>
      </w:r>
      <w:r w:rsidR="00D23E73">
        <w:rPr>
          <w:rFonts w:ascii="Arial" w:hAnsi="Arial" w:cs="Arial"/>
          <w:color w:val="000000"/>
          <w:sz w:val="20"/>
          <w:szCs w:val="20"/>
          <w:lang w:val="it-IT"/>
        </w:rPr>
        <w:t>o</w:t>
      </w:r>
      <w:r w:rsidR="00666CE8"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preparat</w:t>
      </w:r>
      <w:r w:rsidR="00D23E73">
        <w:rPr>
          <w:rFonts w:ascii="Arial" w:hAnsi="Arial" w:cs="Arial"/>
          <w:color w:val="000000"/>
          <w:sz w:val="20"/>
          <w:szCs w:val="20"/>
          <w:lang w:val="it-IT"/>
        </w:rPr>
        <w:t>o</w:t>
      </w:r>
      <w:r w:rsidRPr="00656794">
        <w:rPr>
          <w:rFonts w:ascii="Arial" w:hAnsi="Arial" w:cs="Arial"/>
          <w:color w:val="000000"/>
          <w:sz w:val="20"/>
          <w:szCs w:val="20"/>
          <w:lang w:val="it-IT"/>
        </w:rPr>
        <w:t xml:space="preserve"> </w:t>
      </w:r>
      <w:r w:rsidR="00B27DDD" w:rsidRPr="00656794">
        <w:rPr>
          <w:rFonts w:ascii="Arial" w:hAnsi="Arial" w:cs="Arial"/>
          <w:color w:val="000000"/>
          <w:sz w:val="20"/>
          <w:szCs w:val="20"/>
          <w:lang w:val="it-IT"/>
        </w:rPr>
        <w:t>al 30 novembre 2020 e ho considerato l</w:t>
      </w:r>
      <w:r w:rsidR="00F23A40" w:rsidRPr="00656794">
        <w:rPr>
          <w:rFonts w:ascii="Arial" w:hAnsi="Arial" w:cs="Arial"/>
          <w:color w:val="000000"/>
          <w:sz w:val="20"/>
          <w:szCs w:val="20"/>
          <w:lang w:val="it-IT"/>
        </w:rPr>
        <w:t>’</w:t>
      </w:r>
      <w:r w:rsidR="00B27DDD" w:rsidRPr="00656794">
        <w:rPr>
          <w:rFonts w:ascii="Arial" w:hAnsi="Arial" w:cs="Arial"/>
          <w:color w:val="000000"/>
          <w:sz w:val="20"/>
          <w:szCs w:val="20"/>
          <w:lang w:val="it-IT"/>
        </w:rPr>
        <w:t>analisi di sensibilità preparata all</w:t>
      </w:r>
      <w:r w:rsidR="00F23A40" w:rsidRPr="00656794">
        <w:rPr>
          <w:rFonts w:ascii="Arial" w:hAnsi="Arial" w:cs="Arial"/>
          <w:color w:val="000000"/>
          <w:sz w:val="20"/>
          <w:szCs w:val="20"/>
          <w:lang w:val="it-IT"/>
        </w:rPr>
        <w:t>’</w:t>
      </w:r>
      <w:r w:rsidR="00B27DDD" w:rsidRPr="00656794">
        <w:rPr>
          <w:rFonts w:ascii="Arial" w:hAnsi="Arial" w:cs="Arial"/>
          <w:color w:val="000000"/>
          <w:sz w:val="20"/>
          <w:szCs w:val="20"/>
          <w:lang w:val="it-IT"/>
        </w:rPr>
        <w:t xml:space="preserve">interno di tale </w:t>
      </w:r>
      <w:r w:rsidR="00D23E73">
        <w:rPr>
          <w:rFonts w:ascii="Arial" w:hAnsi="Arial" w:cs="Arial"/>
          <w:color w:val="000000"/>
          <w:sz w:val="20"/>
          <w:szCs w:val="20"/>
          <w:lang w:val="it-IT"/>
        </w:rPr>
        <w:t>rapporto</w:t>
      </w:r>
      <w:r w:rsidR="00B27DDD" w:rsidRPr="00656794">
        <w:rPr>
          <w:rFonts w:ascii="Arial" w:hAnsi="Arial" w:cs="Arial"/>
          <w:color w:val="000000"/>
          <w:sz w:val="20"/>
          <w:szCs w:val="20"/>
          <w:lang w:val="it-IT"/>
        </w:rPr>
        <w:t>. Non ho riprodotto il dettaglio. I rischi principali sono in linea con quelli delineati nella precedente Sezione 4.4.1 e, come discusso nello ZLAP ORSA, il più rilevante riguarda gli shock di mercato tra i rischi di spread, tasso di interesse e azioni.</w:t>
      </w:r>
    </w:p>
    <w:p w14:paraId="49606E30" w14:textId="77777777" w:rsidR="00B27DDD" w:rsidRPr="00656794" w:rsidRDefault="00B27DDD" w:rsidP="009051E2">
      <w:pPr>
        <w:pStyle w:val="NormalWeb"/>
        <w:ind w:right="102"/>
        <w:jc w:val="both"/>
        <w:rPr>
          <w:rFonts w:ascii="Arial" w:hAnsi="Arial" w:cs="Arial"/>
          <w:color w:val="00338D"/>
          <w:lang w:val="it-IT"/>
        </w:rPr>
      </w:pPr>
      <w:r w:rsidRPr="00656794">
        <w:rPr>
          <w:rFonts w:ascii="Arial" w:hAnsi="Arial" w:cs="Arial"/>
          <w:color w:val="00338D"/>
          <w:lang w:val="it-IT"/>
        </w:rPr>
        <w:t>4.4.5 Problemi di rischio</w:t>
      </w:r>
    </w:p>
    <w:p w14:paraId="136FFB36" w14:textId="7134562B"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Anche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elenco corrente dei problemi di rischio aperti per ZLAP è stato condiviso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ho considerato come parte della mia </w:t>
      </w:r>
      <w:r w:rsidR="008C4663">
        <w:rPr>
          <w:rFonts w:ascii="Arial" w:hAnsi="Arial" w:cs="Arial"/>
          <w:color w:val="000000"/>
          <w:sz w:val="20"/>
          <w:szCs w:val="20"/>
          <w:lang w:val="it-IT"/>
        </w:rPr>
        <w:t>revisione</w:t>
      </w:r>
      <w:r w:rsidRPr="00656794">
        <w:rPr>
          <w:rFonts w:ascii="Arial" w:hAnsi="Arial" w:cs="Arial"/>
          <w:color w:val="000000"/>
          <w:sz w:val="20"/>
          <w:szCs w:val="20"/>
          <w:lang w:val="it-IT"/>
        </w:rPr>
        <w:t>. Non sono state individuate problematiche specifiche che impattano sul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4A04FCF1" w14:textId="6F27ADF4" w:rsidR="00B27DDD" w:rsidRPr="00656794" w:rsidRDefault="00B27DDD" w:rsidP="00B27DDD">
      <w:pPr>
        <w:pStyle w:val="NormalWeb"/>
        <w:ind w:right="102"/>
        <w:jc w:val="both"/>
        <w:rPr>
          <w:rFonts w:ascii="Arial" w:hAnsi="Arial" w:cs="Arial"/>
          <w:color w:val="00338D"/>
          <w:lang w:val="it-IT"/>
        </w:rPr>
      </w:pPr>
      <w:r w:rsidRPr="00656794">
        <w:rPr>
          <w:rFonts w:ascii="Arial" w:hAnsi="Arial" w:cs="Arial"/>
          <w:color w:val="00338D"/>
          <w:lang w:val="it-IT"/>
        </w:rPr>
        <w:t>4.4.6 Govern</w:t>
      </w:r>
      <w:r w:rsidR="00DB4ED1" w:rsidRPr="00656794">
        <w:rPr>
          <w:rFonts w:ascii="Arial" w:hAnsi="Arial" w:cs="Arial"/>
          <w:color w:val="00338D"/>
          <w:lang w:val="it-IT"/>
        </w:rPr>
        <w:t>ance</w:t>
      </w:r>
    </w:p>
    <w:p w14:paraId="3C68777A" w14:textId="6725C3A3"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ZLAP dispone di una struttura di governance completa che stabilisce ruoli e responsabilità in tutta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entità.</w:t>
      </w:r>
    </w:p>
    <w:p w14:paraId="0EBC5991" w14:textId="77777777" w:rsidR="00B27DDD" w:rsidRPr="00656794" w:rsidRDefault="00B27DDD" w:rsidP="00DB4ED1">
      <w:pPr>
        <w:spacing w:before="139" w:after="0" w:line="240" w:lineRule="auto"/>
        <w:rPr>
          <w:rFonts w:ascii="Arial" w:eastAsia="Times New Roman" w:hAnsi="Arial" w:cs="Arial"/>
          <w:color w:val="00B0F0"/>
          <w:sz w:val="20"/>
          <w:szCs w:val="20"/>
          <w:lang w:val="it-IT" w:eastAsia="en-IE"/>
        </w:rPr>
      </w:pPr>
      <w:r w:rsidRPr="00656794">
        <w:rPr>
          <w:rFonts w:ascii="Arial" w:eastAsia="Times New Roman" w:hAnsi="Arial" w:cs="Arial"/>
          <w:color w:val="00B0F0"/>
          <w:sz w:val="20"/>
          <w:szCs w:val="20"/>
          <w:lang w:val="it-IT" w:eastAsia="en-IE"/>
        </w:rPr>
        <w:t>Il Consiglio ZLAP</w:t>
      </w:r>
    </w:p>
    <w:p w14:paraId="6AC4C5C6" w14:textId="43958D49"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Il consiglio di amministrazione di ZLAP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il Consiglio</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è responsabile della governance e della supervisione di tutti gli aspetti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attività di ZLAP. Il Consiglio opera secondo termini di riferimento chiaramente definiti e, tra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altro, approva gli obiettivi aziendali, definisce la strategia e assicura un solido quadro operativo e di controllo.</w:t>
      </w:r>
    </w:p>
    <w:p w14:paraId="19E41C51" w14:textId="77777777" w:rsidR="00B27DDD" w:rsidRPr="00656794" w:rsidRDefault="00B27DDD" w:rsidP="00DB4ED1">
      <w:pPr>
        <w:spacing w:before="139" w:after="0" w:line="240" w:lineRule="auto"/>
        <w:rPr>
          <w:rFonts w:ascii="Arial" w:eastAsia="Times New Roman" w:hAnsi="Arial" w:cs="Arial"/>
          <w:color w:val="00B0F0"/>
          <w:sz w:val="20"/>
          <w:szCs w:val="20"/>
          <w:lang w:val="it-IT" w:eastAsia="en-IE"/>
        </w:rPr>
      </w:pPr>
      <w:r w:rsidRPr="00656794">
        <w:rPr>
          <w:rFonts w:ascii="Arial" w:eastAsia="Times New Roman" w:hAnsi="Arial" w:cs="Arial"/>
          <w:color w:val="00B0F0"/>
          <w:sz w:val="20"/>
          <w:szCs w:val="20"/>
          <w:lang w:val="it-IT" w:eastAsia="en-IE"/>
        </w:rPr>
        <w:t>Comitati del Consiglio di ZLAP</w:t>
      </w:r>
    </w:p>
    <w:p w14:paraId="5F1F0BBE"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Il Consiglio ha istituito i seguenti comitati che ad esso riportano direttamente:</w:t>
      </w:r>
    </w:p>
    <w:p w14:paraId="45125A54" w14:textId="25BBA38E"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Audit Committee assiste il Consiglio nel controllo, supervisione e coordinamento delle attività e dei processi di audit interni ed esterni di ZLAP. Monitora il processo di rendicontazione finanziaria ed esamina i bilanci annuali e i documenti normativi, oltre a supervisionare le attività della funzione di Compliance.</w:t>
      </w:r>
    </w:p>
    <w:p w14:paraId="6C202E57"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Il Board Risk Committee funge da punto focale per la supervisione della gestione del rischio. Esamina le esposizioni attuali e formula raccomandazioni al Consiglio sulla propensione al rischio di ZLAP e sulla futura strategia di rischio, oltre a supervisionare la funzione di gestione del rischio.</w:t>
      </w:r>
    </w:p>
    <w:p w14:paraId="299EBA0A" w14:textId="515E9022"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Il Comitato per le nomine assiste e supporta il Consiglio nelle questioni relative alla composizione </w:t>
      </w:r>
      <w:r w:rsidR="000F4536">
        <w:rPr>
          <w:rFonts w:ascii="Arial" w:hAnsi="Arial" w:cs="Arial"/>
          <w:color w:val="000000"/>
          <w:sz w:val="20"/>
          <w:szCs w:val="20"/>
          <w:lang w:val="it-IT"/>
        </w:rPr>
        <w:t xml:space="preserve">del </w:t>
      </w:r>
      <w:r w:rsidRPr="00656794">
        <w:rPr>
          <w:rFonts w:ascii="Arial" w:hAnsi="Arial" w:cs="Arial"/>
          <w:color w:val="000000"/>
          <w:sz w:val="20"/>
          <w:szCs w:val="20"/>
          <w:lang w:val="it-IT"/>
        </w:rPr>
        <w:t>Consiglio e alle nomine apicali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della Società. Tra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altro, formula proposte al Consiglio in merito alla nomina di nuovi membri del Consiglio e di altri ruoli apicali nella Società e vigila sulla pianificazione della successione e sul rispetto dei requisiti di governo societario in relazione alla composizione del Consiglio.</w:t>
      </w:r>
    </w:p>
    <w:p w14:paraId="4953E3FB" w14:textId="33CC5838"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ZLAP non dispone di un Comitato Remunerazioni autonomo poiché il Consiglio ha stabilito che, invece di istituire un proprio Comitato </w:t>
      </w:r>
      <w:r w:rsidR="000F4536">
        <w:rPr>
          <w:rFonts w:ascii="Arial" w:hAnsi="Arial" w:cs="Arial"/>
          <w:color w:val="000000"/>
          <w:sz w:val="20"/>
          <w:szCs w:val="20"/>
          <w:lang w:val="it-IT"/>
        </w:rPr>
        <w:t>per questo settore</w:t>
      </w:r>
      <w:r w:rsidRPr="00656794">
        <w:rPr>
          <w:rFonts w:ascii="Arial" w:hAnsi="Arial" w:cs="Arial"/>
          <w:color w:val="000000"/>
          <w:sz w:val="20"/>
          <w:szCs w:val="20"/>
          <w:lang w:val="it-IT"/>
        </w:rPr>
        <w:t>, è opportuno che ZLAP si affidi al Comitato Remunerazioni del Gruppo Zurich per il supporto e le raccomandazioni in questo settore.</w:t>
      </w:r>
    </w:p>
    <w:p w14:paraId="325DDF90" w14:textId="77777777" w:rsidR="00B27DDD" w:rsidRPr="00656794" w:rsidRDefault="00B27DDD" w:rsidP="00B90D33">
      <w:pPr>
        <w:spacing w:before="139" w:after="0" w:line="240" w:lineRule="auto"/>
        <w:rPr>
          <w:rFonts w:ascii="Arial" w:eastAsia="Times New Roman" w:hAnsi="Arial" w:cs="Arial"/>
          <w:color w:val="00B0F0"/>
          <w:sz w:val="20"/>
          <w:szCs w:val="20"/>
          <w:lang w:val="it-IT" w:eastAsia="en-IE"/>
        </w:rPr>
      </w:pPr>
      <w:r w:rsidRPr="00656794">
        <w:rPr>
          <w:rFonts w:ascii="Arial" w:eastAsia="Times New Roman" w:hAnsi="Arial" w:cs="Arial"/>
          <w:color w:val="00B0F0"/>
          <w:sz w:val="20"/>
          <w:szCs w:val="20"/>
          <w:lang w:val="it-IT" w:eastAsia="en-IE"/>
        </w:rPr>
        <w:t>Direzione esecutiva e comitati direttivi</w:t>
      </w:r>
    </w:p>
    <w:p w14:paraId="565666CF" w14:textId="41613D73"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Il Consiglio ha delegato ampi poteri esecutivi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Amministratore Delegato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CEO</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per gestire le attività di ZLAP.</w:t>
      </w:r>
    </w:p>
    <w:p w14:paraId="4BB308B0" w14:textId="2D8A1ABB"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Sono stati istituiti numerosi comitati direttivi chiave per assistere e supportare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amministratore delegato e altri alti dirigenti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adempimento delle loro responsabilità, che includono:</w:t>
      </w:r>
    </w:p>
    <w:p w14:paraId="2E611A96"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Comitato di gestione</w:t>
      </w:r>
    </w:p>
    <w:p w14:paraId="5E45AD61" w14:textId="266A8E5B"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Comitato per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Asset Liability Management e gli Investimenti</w:t>
      </w:r>
    </w:p>
    <w:p w14:paraId="3219479E" w14:textId="10E7EA2C"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Comitato </w:t>
      </w:r>
      <w:r w:rsidR="00446E83">
        <w:rPr>
          <w:rFonts w:ascii="Arial" w:hAnsi="Arial" w:cs="Arial"/>
          <w:color w:val="000000"/>
          <w:sz w:val="20"/>
          <w:szCs w:val="20"/>
          <w:lang w:val="it-IT"/>
        </w:rPr>
        <w:t>Con profitto</w:t>
      </w:r>
    </w:p>
    <w:p w14:paraId="0EDD4906"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Comitato Controllo e Rischi</w:t>
      </w:r>
    </w:p>
    <w:p w14:paraId="5A472FBD"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Comitato Rischi Operativi</w:t>
      </w:r>
    </w:p>
    <w:p w14:paraId="77FF4737"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Comitato di riassicurazione</w:t>
      </w:r>
    </w:p>
    <w:p w14:paraId="175BF5DB"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Comitato per lo sviluppo del prodotto</w:t>
      </w:r>
    </w:p>
    <w:p w14:paraId="3DF38330"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Comitato per la condotta, le normative e la conformità.</w:t>
      </w:r>
    </w:p>
    <w:p w14:paraId="41FC9DDB" w14:textId="77777777" w:rsidR="00B27DDD" w:rsidRPr="00656794" w:rsidRDefault="00B27DDD" w:rsidP="00B90D33">
      <w:pPr>
        <w:spacing w:before="139" w:after="0" w:line="240" w:lineRule="auto"/>
        <w:rPr>
          <w:rFonts w:ascii="Arial" w:eastAsia="Times New Roman" w:hAnsi="Arial" w:cs="Arial"/>
          <w:color w:val="00B0F0"/>
          <w:sz w:val="20"/>
          <w:szCs w:val="20"/>
          <w:lang w:val="it-IT" w:eastAsia="en-IE"/>
        </w:rPr>
      </w:pPr>
      <w:r w:rsidRPr="00656794">
        <w:rPr>
          <w:rFonts w:ascii="Arial" w:eastAsia="Times New Roman" w:hAnsi="Arial" w:cs="Arial"/>
          <w:color w:val="00B0F0"/>
          <w:sz w:val="20"/>
          <w:szCs w:val="20"/>
          <w:lang w:val="it-IT" w:eastAsia="en-IE"/>
        </w:rPr>
        <w:lastRenderedPageBreak/>
        <w:t>Funzioni chiave</w:t>
      </w:r>
    </w:p>
    <w:p w14:paraId="1340B719"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struttura di governance di ZLAP è inoltre supportata dalle seguenti funzioni chiave, che riferiscono al Consiglio o ai sottocomitati appropriati del Consiglio su una base specifica:</w:t>
      </w:r>
    </w:p>
    <w:p w14:paraId="34BCFA12" w14:textId="33D22346"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La funzione di gestione del rischio, guidata dal Chief Risk Officer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CRO</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di ZLAP, è responsabile di facilitare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implementazione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efficace funzionamento del </w:t>
      </w:r>
      <w:r w:rsidR="005E55EE" w:rsidRPr="00656794">
        <w:rPr>
          <w:rFonts w:ascii="Arial" w:hAnsi="Arial" w:cs="Arial"/>
          <w:color w:val="000000"/>
          <w:sz w:val="20"/>
          <w:szCs w:val="20"/>
          <w:lang w:val="it-IT"/>
        </w:rPr>
        <w:t>quadro</w:t>
      </w:r>
      <w:r w:rsidRPr="00656794">
        <w:rPr>
          <w:rFonts w:ascii="Arial" w:hAnsi="Arial" w:cs="Arial"/>
          <w:color w:val="000000"/>
          <w:sz w:val="20"/>
          <w:szCs w:val="20"/>
          <w:lang w:val="it-IT"/>
        </w:rPr>
        <w:t xml:space="preserve"> ZLAP ERM, rendicontare le esposizioni al rischio e formulare raccomandazioni al consiglio sulla propensione al rischio e altri rischi questioni di gestione.</w:t>
      </w:r>
    </w:p>
    <w:p w14:paraId="50D26306" w14:textId="564904D3"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La funzione Compliance, guidata dal Chief Compliance Officer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CCO</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di ZLAP, è responsabile della promozione di una cultura basata sull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etica, della fornitura di soluzioni di conformità e della garanzia. La funzione Compliance, tra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altro, fornisce consulenza al Consiglio sul rispetto di leggi e regolamenti, valuta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dei cambiamenti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ambiente legale esterno e valuta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adeguatezza delle misure adottate da ZLAP per prevenire la non conformità.</w:t>
      </w:r>
    </w:p>
    <w:p w14:paraId="322DB8E5" w14:textId="57D8296C"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La funzione di revisione interna, guidata dal responsabile della revisione interna di ZLAP, è responsabile di fornire una garanzia indipendente e obiettiva al consiglio di amministrazione, al comitato di revisione e al comitato di controllo e rischi sull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adeguatezza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efficacia della gestione del rischio, del controllo interno e della governance di ZLAP processi. La funzione di </w:t>
      </w:r>
      <w:r w:rsidR="00D821AB" w:rsidRPr="00656794">
        <w:rPr>
          <w:rFonts w:ascii="Arial" w:hAnsi="Arial" w:cs="Arial"/>
          <w:color w:val="000000"/>
          <w:sz w:val="20"/>
          <w:szCs w:val="20"/>
          <w:lang w:val="it-IT"/>
        </w:rPr>
        <w:t>Audit interno</w:t>
      </w:r>
      <w:r w:rsidRPr="00656794">
        <w:rPr>
          <w:rFonts w:ascii="Arial" w:hAnsi="Arial" w:cs="Arial"/>
          <w:color w:val="000000"/>
          <w:sz w:val="20"/>
          <w:szCs w:val="20"/>
          <w:lang w:val="it-IT"/>
        </w:rPr>
        <w:t xml:space="preserve"> di ZLAP è fornita dalla funzione di </w:t>
      </w:r>
      <w:r w:rsidR="00D821AB" w:rsidRPr="00656794">
        <w:rPr>
          <w:rFonts w:ascii="Arial" w:hAnsi="Arial" w:cs="Arial"/>
          <w:color w:val="000000"/>
          <w:sz w:val="20"/>
          <w:szCs w:val="20"/>
          <w:lang w:val="it-IT"/>
        </w:rPr>
        <w:t>Audit interno</w:t>
      </w:r>
      <w:r w:rsidRPr="00656794">
        <w:rPr>
          <w:rFonts w:ascii="Arial" w:hAnsi="Arial" w:cs="Arial"/>
          <w:color w:val="000000"/>
          <w:sz w:val="20"/>
          <w:szCs w:val="20"/>
          <w:lang w:val="it-IT"/>
        </w:rPr>
        <w:t xml:space="preserve"> del Gruppo Zurich.</w:t>
      </w:r>
    </w:p>
    <w:p w14:paraId="6FA08BC4" w14:textId="6D1417FD"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La funzione attuariale, guidata dal responsabile della funzione attuariale ZLAP, è responsabile dello svolgimento delle attività di ZLAP, compresa la fornitura di relazioni periodiche al Consiglio per le riserve tecniche.</w:t>
      </w:r>
    </w:p>
    <w:p w14:paraId="48B1B834" w14:textId="2B9FA30F" w:rsidR="00B27DDD" w:rsidRPr="00656794" w:rsidRDefault="00B27DDD" w:rsidP="00B90D33">
      <w:pPr>
        <w:spacing w:before="280"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4.5 </w:t>
      </w:r>
      <w:r w:rsidR="006E4DA9" w:rsidRPr="00656794">
        <w:rPr>
          <w:rFonts w:ascii="Arial" w:eastAsia="Times New Roman" w:hAnsi="Arial" w:cs="Arial"/>
          <w:b/>
          <w:bCs/>
          <w:color w:val="00338D"/>
          <w:sz w:val="28"/>
          <w:szCs w:val="28"/>
          <w:lang w:val="it-IT" w:eastAsia="en-IE"/>
        </w:rPr>
        <w:t>Profilo finanziario</w:t>
      </w:r>
    </w:p>
    <w:p w14:paraId="64F46EDE" w14:textId="37837B12" w:rsidR="00B27DDD" w:rsidRPr="00656794" w:rsidRDefault="00B27DDD" w:rsidP="00B90D33">
      <w:pPr>
        <w:spacing w:before="138"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4.5.1 </w:t>
      </w:r>
      <w:r w:rsidR="007C1129" w:rsidRPr="00656794">
        <w:rPr>
          <w:rFonts w:ascii="Arial" w:eastAsia="Times New Roman" w:hAnsi="Arial" w:cs="Arial"/>
          <w:color w:val="00338D"/>
          <w:sz w:val="24"/>
          <w:szCs w:val="24"/>
          <w:lang w:val="it-IT" w:eastAsia="en-IE"/>
        </w:rPr>
        <w:t>Contesto</w:t>
      </w:r>
    </w:p>
    <w:p w14:paraId="0C335853"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ZLAP è regolamentato dalla CBI e valuta i propri requisiti patrimoniali regolamentari in linea con Solvency II, un regime regolamentare paneuropeo entrato in vigore il 1° gennaio 2016.</w:t>
      </w:r>
    </w:p>
    <w:p w14:paraId="28D00E25" w14:textId="0DE686F9"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Solvency II è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iniziativa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UE che stabilisce regole prescritte sul calcolo delle riserve tecniche e dei requisiti patrimoniali per le imprese di (ri)assicurazione.</w:t>
      </w:r>
    </w:p>
    <w:p w14:paraId="50BB5870" w14:textId="70F76316"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CBI ha introdotto il Regime attuariale domestico a seguito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introduzione di Solvency II, che ha introdotto un ruolo prescritto noto come HoAF. Questa è una funzione controllata pre-approvata o un ruolo PCF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del regime di idoneità e probità del CBI. Per ZLAP, il ruolo di HoAF è assolto da Conor O</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Brien.</w:t>
      </w:r>
    </w:p>
    <w:p w14:paraId="36E92EC9" w14:textId="0DF7CE5C"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Una panoramica del regime Solvency II è fornita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Appendice 5.</w:t>
      </w:r>
    </w:p>
    <w:p w14:paraId="66098783" w14:textId="227AA1B3" w:rsidR="00B27DDD" w:rsidRPr="00656794" w:rsidRDefault="00B27DDD" w:rsidP="00B90D33">
      <w:pPr>
        <w:spacing w:before="136"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4.5.2 </w:t>
      </w:r>
      <w:r w:rsidR="00935B1B" w:rsidRPr="00656794">
        <w:rPr>
          <w:rFonts w:ascii="Arial" w:eastAsia="Times New Roman" w:hAnsi="Arial" w:cs="Arial"/>
          <w:color w:val="00338D"/>
          <w:sz w:val="24"/>
          <w:szCs w:val="24"/>
          <w:lang w:val="it-IT" w:eastAsia="en-IE"/>
        </w:rPr>
        <w:t>Riserve tecniche</w:t>
      </w:r>
    </w:p>
    <w:p w14:paraId="60E135B8" w14:textId="14EC0AD8"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La tabella 4.1 che segue riporta le </w:t>
      </w:r>
      <w:r w:rsidR="00935B1B" w:rsidRPr="00656794">
        <w:rPr>
          <w:rFonts w:ascii="Arial" w:hAnsi="Arial" w:cs="Arial"/>
          <w:color w:val="000000"/>
          <w:sz w:val="20"/>
          <w:szCs w:val="20"/>
          <w:lang w:val="it-IT"/>
        </w:rPr>
        <w:t>Riserve tecniche</w:t>
      </w:r>
      <w:r w:rsidRPr="00656794">
        <w:rPr>
          <w:rFonts w:ascii="Arial" w:hAnsi="Arial" w:cs="Arial"/>
          <w:color w:val="000000"/>
          <w:sz w:val="20"/>
          <w:szCs w:val="20"/>
          <w:lang w:val="it-IT"/>
        </w:rPr>
        <w:t xml:space="preserve"> ZLAP, come richiesto da Solvency II, per le linee di business introdotte nella sezione 4.2.</w:t>
      </w:r>
    </w:p>
    <w:tbl>
      <w:tblPr>
        <w:tblW w:w="0" w:type="auto"/>
        <w:tblCellMar>
          <w:top w:w="15" w:type="dxa"/>
          <w:left w:w="15" w:type="dxa"/>
          <w:bottom w:w="15" w:type="dxa"/>
          <w:right w:w="15" w:type="dxa"/>
        </w:tblCellMar>
        <w:tblLook w:val="04A0" w:firstRow="1" w:lastRow="0" w:firstColumn="1" w:lastColumn="0" w:noHBand="0" w:noVBand="1"/>
      </w:tblPr>
      <w:tblGrid>
        <w:gridCol w:w="2263"/>
        <w:gridCol w:w="2010"/>
        <w:gridCol w:w="1807"/>
        <w:gridCol w:w="1289"/>
        <w:gridCol w:w="1637"/>
      </w:tblGrid>
      <w:tr w:rsidR="00B27DDD" w:rsidRPr="00B84464" w14:paraId="496D45BF" w14:textId="77777777" w:rsidTr="006E4DA9">
        <w:trPr>
          <w:trHeight w:val="147"/>
        </w:trPr>
        <w:tc>
          <w:tcPr>
            <w:tcW w:w="0" w:type="auto"/>
            <w:gridSpan w:val="5"/>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65069ACB" w14:textId="447158DB" w:rsidR="00B27DDD" w:rsidRPr="00656794" w:rsidRDefault="00F157C6" w:rsidP="00C120B8">
            <w:pPr>
              <w:spacing w:before="98" w:after="0" w:line="240" w:lineRule="auto"/>
              <w:ind w:right="1004"/>
              <w:rPr>
                <w:rFonts w:ascii="Times New Roman" w:eastAsia="Times New Roman" w:hAnsi="Times New Roman" w:cs="Times New Roman"/>
                <w:sz w:val="24"/>
                <w:szCs w:val="24"/>
                <w:lang w:val="it-IT" w:eastAsia="en-IE"/>
              </w:rPr>
            </w:pPr>
            <w:r w:rsidRPr="00656794">
              <w:rPr>
                <w:rFonts w:ascii="Arial" w:eastAsia="Times New Roman" w:hAnsi="Arial" w:cs="Arial"/>
                <w:color w:val="FFFFFF" w:themeColor="background1"/>
                <w:sz w:val="20"/>
                <w:szCs w:val="20"/>
                <w:lang w:val="it-IT" w:eastAsia="en-IE"/>
              </w:rPr>
              <w:t xml:space="preserve">Tabella 4.1(a): ZLAP </w:t>
            </w:r>
            <w:r w:rsidR="00F4199C" w:rsidRPr="00656794">
              <w:rPr>
                <w:rFonts w:ascii="Arial" w:eastAsia="Times New Roman" w:hAnsi="Arial" w:cs="Arial"/>
                <w:color w:val="FFFFFF" w:themeColor="background1"/>
                <w:sz w:val="20"/>
                <w:szCs w:val="20"/>
                <w:lang w:val="it-IT" w:eastAsia="en-IE"/>
              </w:rPr>
              <w:t>A</w:t>
            </w:r>
            <w:r w:rsidR="00151C33" w:rsidRPr="00656794">
              <w:rPr>
                <w:rFonts w:ascii="Arial" w:eastAsia="Times New Roman" w:hAnsi="Arial" w:cs="Arial"/>
                <w:color w:val="FFFFFF" w:themeColor="background1"/>
                <w:sz w:val="20"/>
                <w:szCs w:val="20"/>
                <w:lang w:val="it-IT" w:eastAsia="en-IE"/>
              </w:rPr>
              <w:t>ttività</w:t>
            </w:r>
            <w:r w:rsidRPr="00656794">
              <w:rPr>
                <w:rFonts w:ascii="Arial" w:eastAsia="Times New Roman" w:hAnsi="Arial" w:cs="Arial"/>
                <w:color w:val="FFFFFF" w:themeColor="background1"/>
                <w:sz w:val="20"/>
                <w:szCs w:val="20"/>
                <w:lang w:val="it-IT" w:eastAsia="en-IE"/>
              </w:rPr>
              <w:t xml:space="preserve"> </w:t>
            </w:r>
            <w:r w:rsidR="00151C33" w:rsidRPr="00656794">
              <w:rPr>
                <w:rFonts w:ascii="Arial" w:eastAsia="Times New Roman" w:hAnsi="Arial" w:cs="Arial"/>
                <w:color w:val="FFFFFF" w:themeColor="background1"/>
                <w:sz w:val="20"/>
                <w:szCs w:val="20"/>
                <w:lang w:val="it-IT" w:eastAsia="en-IE"/>
              </w:rPr>
              <w:t>scritte</w:t>
            </w:r>
            <w:r w:rsidRPr="00656794">
              <w:rPr>
                <w:rFonts w:ascii="Arial" w:eastAsia="Times New Roman" w:hAnsi="Arial" w:cs="Arial"/>
                <w:color w:val="FFFFFF" w:themeColor="background1"/>
                <w:sz w:val="20"/>
                <w:szCs w:val="20"/>
                <w:lang w:val="it-IT" w:eastAsia="en-IE"/>
              </w:rPr>
              <w:t xml:space="preserve"> – 31 dicembre 2020</w:t>
            </w:r>
          </w:p>
        </w:tc>
      </w:tr>
      <w:tr w:rsidR="00C31F91" w:rsidRPr="00656794" w14:paraId="1301A38F" w14:textId="77777777" w:rsidTr="00C120B8">
        <w:trPr>
          <w:trHeight w:val="848"/>
        </w:trPr>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00198EBA" w14:textId="3001A19F" w:rsidR="00B27DDD" w:rsidRPr="00656794" w:rsidRDefault="00272A18" w:rsidP="00C120B8">
            <w:pPr>
              <w:spacing w:after="0" w:line="240" w:lineRule="auto"/>
              <w:ind w:left="132"/>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Linea di attività</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5FCC0085" w14:textId="5119E49A" w:rsidR="00B27DDD" w:rsidRPr="00656794" w:rsidRDefault="00935B1B" w:rsidP="00C120B8">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Riserve tecniche</w:t>
            </w:r>
            <w:r w:rsidR="00A73BBE" w:rsidRPr="00656794">
              <w:rPr>
                <w:rFonts w:ascii="Arial" w:eastAsia="Times New Roman" w:hAnsi="Arial" w:cs="Arial"/>
                <w:b/>
                <w:bCs/>
                <w:color w:val="000000"/>
                <w:sz w:val="18"/>
                <w:szCs w:val="18"/>
                <w:lang w:val="it-IT" w:eastAsia="en-IE"/>
              </w:rPr>
              <w:t xml:space="preserve"> calcolate nel loro insieme</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7956E613" w14:textId="0B7D9CE5" w:rsidR="00B27DDD" w:rsidRPr="00656794" w:rsidRDefault="00710E21" w:rsidP="00C120B8">
            <w:pPr>
              <w:spacing w:after="0" w:line="240" w:lineRule="auto"/>
              <w:ind w:left="132"/>
              <w:jc w:val="center"/>
              <w:rPr>
                <w:rFonts w:ascii="Arial" w:eastAsia="Times New Roman" w:hAnsi="Arial" w:cs="Arial"/>
                <w:b/>
                <w:bCs/>
                <w:color w:val="000000"/>
                <w:sz w:val="18"/>
                <w:szCs w:val="18"/>
                <w:lang w:val="it-IT" w:eastAsia="en-IE"/>
              </w:rPr>
            </w:pPr>
            <w:r>
              <w:rPr>
                <w:rFonts w:ascii="Arial" w:eastAsia="Times New Roman" w:hAnsi="Arial" w:cs="Arial"/>
                <w:b/>
                <w:bCs/>
                <w:color w:val="000000"/>
                <w:sz w:val="18"/>
                <w:szCs w:val="18"/>
                <w:lang w:val="it-IT" w:eastAsia="en-IE"/>
              </w:rPr>
              <w:t>Passività lorde della migliore stima</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E008BF0" w14:textId="24617D9B" w:rsidR="00B27DDD" w:rsidRPr="00656794" w:rsidRDefault="00C31F91" w:rsidP="00C120B8">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Margine di rischio</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060543AB" w14:textId="36C862C2" w:rsidR="00B27DDD" w:rsidRPr="00656794" w:rsidRDefault="00B27DDD" w:rsidP="00C120B8">
            <w:pPr>
              <w:spacing w:after="0" w:line="240" w:lineRule="auto"/>
              <w:ind w:left="132" w:right="124"/>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Total</w:t>
            </w:r>
            <w:r w:rsidR="00C31F91" w:rsidRPr="00656794">
              <w:rPr>
                <w:rFonts w:ascii="Arial" w:eastAsia="Times New Roman" w:hAnsi="Arial" w:cs="Arial"/>
                <w:b/>
                <w:bCs/>
                <w:color w:val="000000"/>
                <w:sz w:val="18"/>
                <w:szCs w:val="18"/>
                <w:lang w:val="it-IT" w:eastAsia="en-IE"/>
              </w:rPr>
              <w:t xml:space="preserve">e </w:t>
            </w:r>
            <w:r w:rsidR="00935B1B" w:rsidRPr="00656794">
              <w:rPr>
                <w:rFonts w:ascii="Arial" w:eastAsia="Times New Roman" w:hAnsi="Arial" w:cs="Arial"/>
                <w:b/>
                <w:bCs/>
                <w:color w:val="000000"/>
                <w:sz w:val="18"/>
                <w:szCs w:val="18"/>
                <w:lang w:val="it-IT" w:eastAsia="en-IE"/>
              </w:rPr>
              <w:t>Riserve tecniche</w:t>
            </w:r>
            <w:r w:rsidRPr="00656794">
              <w:rPr>
                <w:rFonts w:ascii="Arial" w:eastAsia="Times New Roman" w:hAnsi="Arial" w:cs="Arial"/>
                <w:b/>
                <w:bCs/>
                <w:color w:val="000000"/>
                <w:sz w:val="18"/>
                <w:szCs w:val="18"/>
                <w:lang w:val="it-IT" w:eastAsia="en-IE"/>
              </w:rPr>
              <w:t> </w:t>
            </w:r>
          </w:p>
        </w:tc>
      </w:tr>
      <w:tr w:rsidR="00C31F91" w:rsidRPr="00656794" w14:paraId="753522B1" w14:textId="77777777" w:rsidTr="00B27DDD">
        <w:trPr>
          <w:trHeight w:val="20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D94CF" w14:textId="79D6FC70" w:rsidR="00C31F91" w:rsidRPr="00656794" w:rsidRDefault="00C31F91" w:rsidP="00E67E9D">
            <w:pPr>
              <w:spacing w:after="0" w:line="240" w:lineRule="auto"/>
              <w:ind w:left="134"/>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lastRenderedPageBreak/>
              <w:t xml:space="preserve">Assicurazione </w:t>
            </w:r>
            <w:r w:rsidR="00446E83">
              <w:rPr>
                <w:rFonts w:ascii="Arial" w:eastAsia="Times New Roman" w:hAnsi="Arial" w:cs="Arial"/>
                <w:color w:val="000000"/>
                <w:sz w:val="18"/>
                <w:szCs w:val="18"/>
                <w:shd w:val="clear" w:color="auto" w:fill="FFFFFF"/>
                <w:lang w:val="it-IT" w:eastAsia="en-IE"/>
              </w:rPr>
              <w:t>con profitto</w:t>
            </w:r>
          </w:p>
          <w:p w14:paraId="5196C7D5" w14:textId="77777777" w:rsidR="000F4536" w:rsidRDefault="000F4536" w:rsidP="00C31F91">
            <w:pPr>
              <w:spacing w:after="0" w:line="240" w:lineRule="auto"/>
              <w:ind w:left="134"/>
              <w:rPr>
                <w:rFonts w:ascii="Arial" w:eastAsia="Times New Roman" w:hAnsi="Arial" w:cs="Arial"/>
                <w:color w:val="000000"/>
                <w:sz w:val="18"/>
                <w:szCs w:val="18"/>
                <w:shd w:val="clear" w:color="auto" w:fill="FFFFFF"/>
                <w:lang w:val="it-IT" w:eastAsia="en-IE"/>
              </w:rPr>
            </w:pPr>
          </w:p>
          <w:p w14:paraId="1832AD02" w14:textId="479F51D1" w:rsidR="00C31F91" w:rsidRPr="00656794" w:rsidRDefault="00C31F91" w:rsidP="00C31F91">
            <w:pPr>
              <w:spacing w:after="0" w:line="240" w:lineRule="auto"/>
              <w:ind w:left="134"/>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 xml:space="preserve">Assicurazione </w:t>
            </w:r>
            <w:r w:rsidR="000F4536">
              <w:rPr>
                <w:rFonts w:ascii="Arial" w:eastAsia="Times New Roman" w:hAnsi="Arial" w:cs="Arial"/>
                <w:color w:val="000000"/>
                <w:sz w:val="18"/>
                <w:szCs w:val="18"/>
                <w:shd w:val="clear" w:color="auto" w:fill="FFFFFF"/>
                <w:lang w:val="it-IT" w:eastAsia="en-IE"/>
              </w:rPr>
              <w:t>Index-Linked e Unit-Linked</w:t>
            </w:r>
          </w:p>
          <w:p w14:paraId="503D316F" w14:textId="77777777" w:rsidR="000F4536" w:rsidRDefault="000F4536" w:rsidP="00C31F91">
            <w:pPr>
              <w:spacing w:after="0" w:line="240" w:lineRule="auto"/>
              <w:ind w:left="134"/>
              <w:rPr>
                <w:rFonts w:ascii="Arial" w:eastAsia="Times New Roman" w:hAnsi="Arial" w:cs="Arial"/>
                <w:color w:val="000000"/>
                <w:sz w:val="18"/>
                <w:szCs w:val="18"/>
                <w:shd w:val="clear" w:color="auto" w:fill="FFFFFF"/>
                <w:lang w:val="it-IT" w:eastAsia="en-IE"/>
              </w:rPr>
            </w:pPr>
          </w:p>
          <w:p w14:paraId="6B23D71A" w14:textId="33DBFF86" w:rsidR="00C31F91" w:rsidRPr="00110CD2" w:rsidRDefault="00422DB7" w:rsidP="00C31F91">
            <w:pPr>
              <w:spacing w:after="0" w:line="240" w:lineRule="auto"/>
              <w:ind w:left="134"/>
              <w:rPr>
                <w:rFonts w:ascii="Arial" w:eastAsia="Times New Roman" w:hAnsi="Arial" w:cs="Arial"/>
                <w:i/>
                <w:iCs/>
                <w:color w:val="000000"/>
                <w:sz w:val="18"/>
                <w:szCs w:val="18"/>
                <w:shd w:val="clear" w:color="auto" w:fill="FFFFFF"/>
                <w:lang w:val="it-IT" w:eastAsia="en-IE"/>
              </w:rPr>
            </w:pPr>
            <w:r w:rsidRPr="00110CD2">
              <w:rPr>
                <w:rFonts w:ascii="Arial" w:eastAsia="Times New Roman" w:hAnsi="Arial" w:cs="Arial"/>
                <w:i/>
                <w:iCs/>
                <w:color w:val="000000"/>
                <w:sz w:val="18"/>
                <w:szCs w:val="18"/>
                <w:shd w:val="clear" w:color="auto" w:fill="FFFFFF"/>
                <w:lang w:val="it-IT" w:eastAsia="en-IE"/>
              </w:rPr>
              <w:t>Portafoglio assicurativo italiano</w:t>
            </w:r>
            <w:r w:rsidR="00C31F91" w:rsidRPr="00110CD2">
              <w:rPr>
                <w:rFonts w:ascii="Arial" w:eastAsia="Times New Roman" w:hAnsi="Arial" w:cs="Arial"/>
                <w:i/>
                <w:iCs/>
                <w:color w:val="000000"/>
                <w:sz w:val="18"/>
                <w:szCs w:val="18"/>
                <w:shd w:val="clear" w:color="auto" w:fill="FFFFFF"/>
                <w:lang w:val="it-IT" w:eastAsia="en-IE"/>
              </w:rPr>
              <w:t xml:space="preserve"> unit-linked</w:t>
            </w:r>
          </w:p>
          <w:p w14:paraId="28D40EE4" w14:textId="73215DAC" w:rsidR="000F4536" w:rsidRPr="00695867" w:rsidRDefault="000F4536" w:rsidP="000F4536">
            <w:pPr>
              <w:spacing w:after="0" w:line="240" w:lineRule="auto"/>
              <w:ind w:left="134"/>
              <w:rPr>
                <w:rFonts w:ascii="Arial" w:eastAsia="Times New Roman" w:hAnsi="Arial" w:cs="Arial"/>
                <w:i/>
                <w:iCs/>
                <w:color w:val="000000"/>
                <w:sz w:val="18"/>
                <w:szCs w:val="18"/>
                <w:shd w:val="clear" w:color="auto" w:fill="FFFFFF"/>
                <w:lang w:val="it-IT" w:eastAsia="en-IE"/>
              </w:rPr>
            </w:pPr>
            <w:r w:rsidRPr="00695867">
              <w:rPr>
                <w:rFonts w:ascii="Arial" w:eastAsia="Times New Roman" w:hAnsi="Arial" w:cs="Arial"/>
                <w:i/>
                <w:iCs/>
                <w:color w:val="000000"/>
                <w:sz w:val="18"/>
                <w:szCs w:val="18"/>
                <w:shd w:val="clear" w:color="auto" w:fill="FFFFFF"/>
                <w:lang w:val="it-IT" w:eastAsia="en-IE"/>
              </w:rPr>
              <w:t xml:space="preserve">Portafoglio assicurativo </w:t>
            </w:r>
            <w:r>
              <w:rPr>
                <w:rFonts w:ascii="Arial" w:eastAsia="Times New Roman" w:hAnsi="Arial" w:cs="Arial"/>
                <w:i/>
                <w:iCs/>
                <w:color w:val="000000"/>
                <w:sz w:val="18"/>
                <w:szCs w:val="18"/>
                <w:shd w:val="clear" w:color="auto" w:fill="FFFFFF"/>
                <w:lang w:val="it-IT" w:eastAsia="en-IE"/>
              </w:rPr>
              <w:t xml:space="preserve">non </w:t>
            </w:r>
            <w:r w:rsidRPr="00695867">
              <w:rPr>
                <w:rFonts w:ascii="Arial" w:eastAsia="Times New Roman" w:hAnsi="Arial" w:cs="Arial"/>
                <w:i/>
                <w:iCs/>
                <w:color w:val="000000"/>
                <w:sz w:val="18"/>
                <w:szCs w:val="18"/>
                <w:shd w:val="clear" w:color="auto" w:fill="FFFFFF"/>
                <w:lang w:val="it-IT" w:eastAsia="en-IE"/>
              </w:rPr>
              <w:t>italiano unit-linked</w:t>
            </w:r>
          </w:p>
          <w:p w14:paraId="10F523C3" w14:textId="19E67B1E" w:rsidR="000F4536" w:rsidRDefault="000F4536" w:rsidP="00C31F91">
            <w:pPr>
              <w:spacing w:after="0" w:line="240" w:lineRule="auto"/>
              <w:ind w:left="134"/>
              <w:rPr>
                <w:rFonts w:ascii="Arial" w:eastAsia="Times New Roman" w:hAnsi="Arial" w:cs="Arial"/>
                <w:color w:val="000000"/>
                <w:sz w:val="18"/>
                <w:szCs w:val="18"/>
                <w:shd w:val="clear" w:color="auto" w:fill="FFFFFF"/>
                <w:lang w:val="it-IT" w:eastAsia="en-IE"/>
              </w:rPr>
            </w:pPr>
          </w:p>
          <w:p w14:paraId="58FFF52F" w14:textId="43AE5308" w:rsidR="00C31F91" w:rsidRDefault="00C31F91" w:rsidP="00C31F91">
            <w:pPr>
              <w:spacing w:after="0" w:line="240" w:lineRule="auto"/>
              <w:ind w:left="134"/>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Altre assicurazioni sulla vita</w:t>
            </w:r>
          </w:p>
          <w:p w14:paraId="11B422D1" w14:textId="77777777" w:rsidR="000F4536" w:rsidRPr="00656794" w:rsidRDefault="000F4536" w:rsidP="00C31F91">
            <w:pPr>
              <w:spacing w:after="0" w:line="240" w:lineRule="auto"/>
              <w:ind w:left="134"/>
              <w:rPr>
                <w:rFonts w:ascii="Arial" w:eastAsia="Times New Roman" w:hAnsi="Arial" w:cs="Arial"/>
                <w:color w:val="000000"/>
                <w:sz w:val="18"/>
                <w:szCs w:val="18"/>
                <w:shd w:val="clear" w:color="auto" w:fill="FFFFFF"/>
                <w:lang w:val="it-IT" w:eastAsia="en-IE"/>
              </w:rPr>
            </w:pPr>
          </w:p>
          <w:p w14:paraId="3D7772AB" w14:textId="6E6DE5E9" w:rsidR="00B27DDD" w:rsidRPr="00656794" w:rsidRDefault="00C31F91" w:rsidP="00C31F91">
            <w:pPr>
              <w:spacing w:before="20" w:after="0" w:line="240" w:lineRule="auto"/>
              <w:ind w:left="132"/>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Assicurazione sanitaria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6E430" w14:textId="3AF0F185" w:rsidR="00B27DDD" w:rsidRPr="00656794" w:rsidRDefault="00B27DDD" w:rsidP="00C31F91">
            <w:pPr>
              <w:spacing w:after="0" w:line="240" w:lineRule="auto"/>
              <w:jc w:val="center"/>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1</w:t>
            </w:r>
            <w:r w:rsidR="00C31F91"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697</w:t>
            </w:r>
            <w:r w:rsidR="00C31F91"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6 </w:t>
            </w:r>
          </w:p>
          <w:p w14:paraId="43806C08" w14:textId="444951FE" w:rsidR="000F4536" w:rsidRDefault="000F4536" w:rsidP="00110CD2">
            <w:pPr>
              <w:spacing w:before="204" w:after="0" w:line="240" w:lineRule="auto"/>
              <w:jc w:val="center"/>
              <w:rPr>
                <w:rFonts w:ascii="Times New Roman" w:eastAsia="Times New Roman" w:hAnsi="Times New Roman" w:cs="Times New Roman"/>
                <w:i/>
                <w:iCs/>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22</w:t>
            </w:r>
            <w:r w:rsidR="00C31F91"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452</w:t>
            </w:r>
            <w:r w:rsidR="00C31F91"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2 </w:t>
            </w:r>
            <w:r>
              <w:rPr>
                <w:rFonts w:ascii="Arial" w:eastAsia="Times New Roman" w:hAnsi="Arial" w:cs="Arial"/>
                <w:i/>
                <w:iCs/>
                <w:color w:val="000000"/>
                <w:sz w:val="18"/>
                <w:szCs w:val="18"/>
                <w:shd w:val="clear" w:color="auto" w:fill="FFFFFF"/>
                <w:lang w:val="it-IT" w:eastAsia="en-IE"/>
              </w:rPr>
              <w:br/>
            </w:r>
            <w:r>
              <w:rPr>
                <w:rFonts w:ascii="Times New Roman" w:eastAsia="Times New Roman" w:hAnsi="Times New Roman" w:cs="Times New Roman"/>
                <w:i/>
                <w:iCs/>
                <w:sz w:val="24"/>
                <w:szCs w:val="24"/>
                <w:lang w:val="it-IT" w:eastAsia="en-IE"/>
              </w:rPr>
              <w:br/>
            </w:r>
            <w:r w:rsidR="00B27DDD" w:rsidRPr="00656794">
              <w:rPr>
                <w:rFonts w:ascii="Arial" w:eastAsia="Times New Roman" w:hAnsi="Arial" w:cs="Arial"/>
                <w:i/>
                <w:iCs/>
                <w:color w:val="000000"/>
                <w:sz w:val="18"/>
                <w:szCs w:val="18"/>
                <w:shd w:val="clear" w:color="auto" w:fill="FFFFFF"/>
                <w:lang w:val="it-IT" w:eastAsia="en-IE"/>
              </w:rPr>
              <w:t>1</w:t>
            </w:r>
            <w:r w:rsidR="00C31F91"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833</w:t>
            </w:r>
            <w:r w:rsidR="00C31F91"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1</w:t>
            </w:r>
          </w:p>
          <w:p w14:paraId="023ED004" w14:textId="3A7BB3F4" w:rsidR="00B27DDD" w:rsidRPr="00656794" w:rsidRDefault="000F4536" w:rsidP="00110CD2">
            <w:pPr>
              <w:spacing w:before="146"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20</w:t>
            </w:r>
            <w:r w:rsidR="00C31F91"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619</w:t>
            </w:r>
            <w:r w:rsidR="00C31F91"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1</w:t>
            </w:r>
          </w:p>
          <w:p w14:paraId="3EBEEAA4" w14:textId="0F375101" w:rsidR="00B27DDD" w:rsidRPr="00656794" w:rsidRDefault="00B27DDD" w:rsidP="000E2DA8">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83</w:t>
            </w:r>
            <w:r w:rsidR="00C31F91"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7</w:t>
            </w:r>
          </w:p>
          <w:p w14:paraId="3D3C7078" w14:textId="1977B700" w:rsidR="00B27DDD" w:rsidRPr="00656794" w:rsidRDefault="000F4536" w:rsidP="000E2DA8">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13</w:t>
            </w:r>
            <w:r w:rsidR="00C31F91"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382BC" w14:textId="48505909"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(9</w:t>
            </w:r>
            <w:r w:rsidR="00C31F91"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 </w:t>
            </w:r>
          </w:p>
          <w:p w14:paraId="4BAB49A7" w14:textId="3AC55155" w:rsidR="00B27DDD" w:rsidRPr="00110CD2" w:rsidRDefault="000F4536" w:rsidP="000F4536">
            <w:pPr>
              <w:spacing w:before="204" w:after="0" w:line="240" w:lineRule="auto"/>
              <w:jc w:val="center"/>
              <w:rPr>
                <w:rFonts w:ascii="Arial" w:eastAsia="Times New Roman" w:hAnsi="Arial" w:cs="Arial"/>
                <w:color w:val="000000"/>
                <w:sz w:val="18"/>
                <w:szCs w:val="18"/>
                <w:shd w:val="clear" w:color="auto" w:fill="FFFFFF"/>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(393</w:t>
            </w:r>
            <w:r w:rsidR="00C31F91"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7) </w:t>
            </w:r>
          </w:p>
          <w:p w14:paraId="05355FF7" w14:textId="154EC003" w:rsidR="00B27DDD" w:rsidRPr="00656794" w:rsidRDefault="000F4536" w:rsidP="00B27DDD">
            <w:pPr>
              <w:spacing w:before="146"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(11</w:t>
            </w:r>
            <w:r w:rsidR="00C31F91"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2) </w:t>
            </w:r>
          </w:p>
          <w:p w14:paraId="43F99CF6" w14:textId="4BDB4E92" w:rsidR="000F4536" w:rsidRDefault="000F4536" w:rsidP="000F4536">
            <w:pPr>
              <w:spacing w:before="90" w:after="0" w:line="240" w:lineRule="auto"/>
              <w:jc w:val="center"/>
              <w:rPr>
                <w:rFonts w:ascii="Arial" w:eastAsia="Times New Roman" w:hAnsi="Arial" w:cs="Arial"/>
                <w:color w:val="000000"/>
                <w:sz w:val="18"/>
                <w:szCs w:val="18"/>
                <w:shd w:val="clear" w:color="auto" w:fill="FFFFFF"/>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(382</w:t>
            </w:r>
            <w:r w:rsidR="00C31F91"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5) </w:t>
            </w:r>
          </w:p>
          <w:p w14:paraId="3E559E09" w14:textId="1EEDFECA" w:rsidR="00B27DDD" w:rsidRPr="00656794" w:rsidRDefault="00B27DDD" w:rsidP="000E2DA8">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w:t>
            </w:r>
            <w:r w:rsidR="00C31F91"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101</w:t>
            </w:r>
            <w:r w:rsidR="00C31F91"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8</w:t>
            </w:r>
          </w:p>
          <w:p w14:paraId="759C9835" w14:textId="2B545C15" w:rsidR="00B27DDD" w:rsidRPr="00656794" w:rsidRDefault="000F4536" w:rsidP="000E2DA8">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164</w:t>
            </w:r>
            <w:r w:rsidR="00C31F91"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81A66" w14:textId="5191D69F"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15</w:t>
            </w:r>
            <w:r w:rsidR="0004190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1 </w:t>
            </w:r>
          </w:p>
          <w:p w14:paraId="67697951" w14:textId="37CEE30E" w:rsidR="00B27DDD" w:rsidRPr="00656794" w:rsidRDefault="000E2DA8" w:rsidP="00B27DDD">
            <w:pPr>
              <w:spacing w:before="204"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196</w:t>
            </w:r>
            <w:r w:rsidR="00041903"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9 </w:t>
            </w:r>
          </w:p>
          <w:p w14:paraId="54601674" w14:textId="3AAA50B8" w:rsidR="00B27DDD" w:rsidRPr="00656794" w:rsidRDefault="000E2DA8" w:rsidP="00B27DDD">
            <w:pPr>
              <w:spacing w:before="146"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3</w:t>
            </w:r>
            <w:r w:rsidR="00041903"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6 </w:t>
            </w:r>
          </w:p>
          <w:p w14:paraId="054A4DEA" w14:textId="376213F3" w:rsidR="00B27DDD" w:rsidRPr="00656794" w:rsidRDefault="000E2DA8" w:rsidP="00B27DDD">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t>1</w:t>
            </w:r>
            <w:r w:rsidRPr="00656794">
              <w:rPr>
                <w:rFonts w:ascii="Arial" w:eastAsia="Times New Roman" w:hAnsi="Arial" w:cs="Arial"/>
                <w:i/>
                <w:iCs/>
                <w:color w:val="000000"/>
                <w:sz w:val="18"/>
                <w:szCs w:val="18"/>
                <w:shd w:val="clear" w:color="auto" w:fill="FFFFFF"/>
                <w:lang w:val="it-IT" w:eastAsia="en-IE"/>
              </w:rPr>
              <w:t>93</w:t>
            </w:r>
            <w:r w:rsidR="00041903"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3 </w:t>
            </w:r>
          </w:p>
          <w:p w14:paraId="0E9BC175" w14:textId="0D7CA3CD" w:rsidR="00B27DDD" w:rsidRPr="00656794" w:rsidRDefault="00B27DDD" w:rsidP="00B27DDD">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10</w:t>
            </w:r>
            <w:r w:rsidR="0004190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6 </w:t>
            </w:r>
          </w:p>
          <w:p w14:paraId="085968DE" w14:textId="3B595D46" w:rsidR="00B27DDD" w:rsidRPr="00656794" w:rsidRDefault="000E2DA8" w:rsidP="00B27DDD">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10</w:t>
            </w:r>
            <w:r w:rsidR="00041903"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8CB70" w14:textId="684320BA"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w:t>
            </w:r>
            <w:r w:rsidR="0004190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703</w:t>
            </w:r>
            <w:r w:rsidR="0004190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6</w:t>
            </w:r>
            <w:r w:rsidRPr="00656794">
              <w:rPr>
                <w:rFonts w:ascii="Arial" w:eastAsia="Times New Roman" w:hAnsi="Arial" w:cs="Arial"/>
                <w:color w:val="000000"/>
                <w:sz w:val="18"/>
                <w:szCs w:val="18"/>
                <w:lang w:val="it-IT" w:eastAsia="en-IE"/>
              </w:rPr>
              <w:t> </w:t>
            </w:r>
          </w:p>
          <w:p w14:paraId="774169C4" w14:textId="7AD47EBE" w:rsidR="00B27DDD" w:rsidRPr="00656794" w:rsidRDefault="000E2DA8" w:rsidP="00B27DDD">
            <w:pPr>
              <w:spacing w:before="204"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22</w:t>
            </w:r>
            <w:r w:rsidR="00041903"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255</w:t>
            </w:r>
            <w:r w:rsidR="00041903"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4</w:t>
            </w:r>
            <w:r w:rsidR="00B27DDD" w:rsidRPr="00656794">
              <w:rPr>
                <w:rFonts w:ascii="Arial" w:eastAsia="Times New Roman" w:hAnsi="Arial" w:cs="Arial"/>
                <w:color w:val="000000"/>
                <w:sz w:val="18"/>
                <w:szCs w:val="18"/>
                <w:lang w:val="it-IT" w:eastAsia="en-IE"/>
              </w:rPr>
              <w:t> </w:t>
            </w:r>
          </w:p>
          <w:p w14:paraId="23837B7E" w14:textId="44C0423E" w:rsidR="00B27DDD" w:rsidRPr="00656794" w:rsidRDefault="000E2DA8" w:rsidP="00B27DDD">
            <w:pPr>
              <w:spacing w:before="146"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1</w:t>
            </w:r>
            <w:r w:rsidR="00041903"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825</w:t>
            </w:r>
            <w:r w:rsidR="00041903"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5</w:t>
            </w:r>
            <w:r w:rsidR="00B27DDD" w:rsidRPr="00656794">
              <w:rPr>
                <w:rFonts w:ascii="Arial" w:eastAsia="Times New Roman" w:hAnsi="Arial" w:cs="Arial"/>
                <w:i/>
                <w:iCs/>
                <w:color w:val="000000"/>
                <w:sz w:val="18"/>
                <w:szCs w:val="18"/>
                <w:lang w:val="it-IT" w:eastAsia="en-IE"/>
              </w:rPr>
              <w:t> </w:t>
            </w:r>
          </w:p>
          <w:p w14:paraId="06254AD9" w14:textId="5772E008" w:rsidR="00B27DDD" w:rsidRPr="00656794" w:rsidRDefault="000E2DA8" w:rsidP="00B27DDD">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20</w:t>
            </w:r>
            <w:r w:rsidR="00041903"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429</w:t>
            </w:r>
            <w:r w:rsidR="00041903"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9</w:t>
            </w:r>
            <w:r w:rsidR="00B27DDD" w:rsidRPr="00656794">
              <w:rPr>
                <w:rFonts w:ascii="Arial" w:eastAsia="Times New Roman" w:hAnsi="Arial" w:cs="Arial"/>
                <w:i/>
                <w:iCs/>
                <w:color w:val="000000"/>
                <w:sz w:val="18"/>
                <w:szCs w:val="18"/>
                <w:lang w:val="it-IT" w:eastAsia="en-IE"/>
              </w:rPr>
              <w:t> </w:t>
            </w:r>
          </w:p>
          <w:p w14:paraId="5FB5118A" w14:textId="5DE810DB" w:rsidR="00B27DDD" w:rsidRPr="00656794" w:rsidRDefault="00B27DDD" w:rsidP="000E2DA8">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w:t>
            </w:r>
            <w:r w:rsidR="0004190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196</w:t>
            </w:r>
            <w:r w:rsidR="0004190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w:t>
            </w:r>
          </w:p>
          <w:p w14:paraId="406EC981" w14:textId="2047377C" w:rsidR="00B27DDD" w:rsidRPr="00656794" w:rsidRDefault="000E2DA8" w:rsidP="000E2DA8">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188</w:t>
            </w:r>
            <w:r w:rsidR="00041903"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2</w:t>
            </w:r>
          </w:p>
        </w:tc>
      </w:tr>
      <w:tr w:rsidR="00C31F91" w:rsidRPr="00656794" w14:paraId="64529D0F" w14:textId="77777777" w:rsidTr="00B27DDD">
        <w:trPr>
          <w:trHeight w:val="3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0CF6C" w14:textId="516C8FA6" w:rsidR="00B27DDD" w:rsidRPr="00656794" w:rsidRDefault="00B27DDD" w:rsidP="00B27DDD">
            <w:pPr>
              <w:spacing w:after="0" w:line="240" w:lineRule="auto"/>
              <w:ind w:left="121"/>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Tota</w:t>
            </w:r>
            <w:r w:rsidR="00C31F91" w:rsidRPr="00656794">
              <w:rPr>
                <w:rFonts w:ascii="Arial" w:eastAsia="Times New Roman" w:hAnsi="Arial" w:cs="Arial"/>
                <w:b/>
                <w:bCs/>
                <w:color w:val="000000"/>
                <w:sz w:val="18"/>
                <w:szCs w:val="18"/>
                <w:shd w:val="clear" w:color="auto" w:fill="FFFFFF"/>
                <w:lang w:val="it-IT" w:eastAsia="en-IE"/>
              </w:rPr>
              <w:t>le</w:t>
            </w:r>
            <w:r w:rsidRPr="00656794">
              <w:rPr>
                <w:rFonts w:ascii="Arial" w:eastAsia="Times New Roman" w:hAnsi="Arial" w:cs="Arial"/>
                <w:b/>
                <w:bCs/>
                <w:color w:val="000000"/>
                <w:sz w:val="18"/>
                <w:szCs w:val="18"/>
                <w:shd w:val="clear" w:color="auto" w:fill="FFFFFF"/>
                <w:lang w:val="it-IT" w:eastAsia="en-I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22418" w14:textId="72841D74"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24</w:t>
            </w:r>
            <w:r w:rsidR="00C31F91"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246</w:t>
            </w:r>
            <w:r w:rsidR="00C31F91"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F9FF5" w14:textId="23466575"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863</w:t>
            </w:r>
            <w:r w:rsidR="00C31F91"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861ED" w14:textId="62B470B4"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233</w:t>
            </w:r>
            <w:r w:rsidR="0004190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1BED4" w14:textId="53018F6E"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25</w:t>
            </w:r>
            <w:r w:rsidR="0004190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343</w:t>
            </w:r>
            <w:r w:rsidR="0004190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4</w:t>
            </w:r>
          </w:p>
        </w:tc>
      </w:tr>
      <w:tr w:rsidR="00B27DDD" w:rsidRPr="00B84464" w14:paraId="1837A732" w14:textId="77777777" w:rsidTr="00EB7EC8">
        <w:trPr>
          <w:trHeight w:val="335"/>
        </w:trPr>
        <w:tc>
          <w:tcPr>
            <w:tcW w:w="0" w:type="auto"/>
            <w:gridSpan w:val="5"/>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506044AE" w14:textId="34ECE1B8" w:rsidR="00B27DDD" w:rsidRPr="00656794" w:rsidRDefault="00711A77" w:rsidP="00EB7EC8">
            <w:pPr>
              <w:spacing w:before="98" w:after="0" w:line="240" w:lineRule="auto"/>
              <w:ind w:right="1004"/>
              <w:rPr>
                <w:rFonts w:ascii="Arial" w:eastAsia="Times New Roman" w:hAnsi="Arial" w:cs="Arial"/>
                <w:sz w:val="24"/>
                <w:szCs w:val="24"/>
                <w:lang w:val="it-IT" w:eastAsia="en-IE"/>
              </w:rPr>
            </w:pPr>
            <w:r w:rsidRPr="00656794">
              <w:rPr>
                <w:rFonts w:ascii="Arial" w:eastAsia="Times New Roman" w:hAnsi="Arial" w:cs="Arial"/>
                <w:color w:val="FFFFFF" w:themeColor="background1"/>
                <w:sz w:val="20"/>
                <w:szCs w:val="20"/>
                <w:lang w:val="it-IT" w:eastAsia="en-IE"/>
              </w:rPr>
              <w:t xml:space="preserve">Tabella 4.1(b): ZLAP </w:t>
            </w:r>
            <w:r w:rsidR="00F4199C" w:rsidRPr="00656794">
              <w:rPr>
                <w:rFonts w:ascii="Arial" w:eastAsia="Times New Roman" w:hAnsi="Arial" w:cs="Arial"/>
                <w:color w:val="FFFFFF" w:themeColor="background1"/>
                <w:sz w:val="20"/>
                <w:szCs w:val="20"/>
                <w:lang w:val="it-IT" w:eastAsia="en-IE"/>
              </w:rPr>
              <w:t>Attività scritte</w:t>
            </w:r>
            <w:r w:rsidRPr="00656794">
              <w:rPr>
                <w:rFonts w:ascii="Arial" w:eastAsia="Times New Roman" w:hAnsi="Arial" w:cs="Arial"/>
                <w:color w:val="FFFFFF" w:themeColor="background1"/>
                <w:sz w:val="20"/>
                <w:szCs w:val="20"/>
                <w:lang w:val="it-IT" w:eastAsia="en-IE"/>
              </w:rPr>
              <w:t xml:space="preserve"> – 30 giugno 2021</w:t>
            </w:r>
          </w:p>
        </w:tc>
      </w:tr>
      <w:tr w:rsidR="00711A77" w:rsidRPr="00656794" w14:paraId="3250BEC8" w14:textId="77777777" w:rsidTr="00EB7EC8">
        <w:trPr>
          <w:trHeight w:val="848"/>
        </w:trPr>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A15F6CB" w14:textId="6B5ABDDC" w:rsidR="00711A77" w:rsidRPr="00656794" w:rsidRDefault="00272A18" w:rsidP="00EB7EC8">
            <w:pPr>
              <w:spacing w:after="0" w:line="240" w:lineRule="auto"/>
              <w:ind w:left="132"/>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Linea di attività</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7B9085F" w14:textId="765C01FC" w:rsidR="00711A77" w:rsidRPr="00656794" w:rsidRDefault="00935B1B" w:rsidP="00EB7EC8">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Riserve tecniche</w:t>
            </w:r>
            <w:r w:rsidR="00711A77" w:rsidRPr="00656794">
              <w:rPr>
                <w:rFonts w:ascii="Arial" w:eastAsia="Times New Roman" w:hAnsi="Arial" w:cs="Arial"/>
                <w:b/>
                <w:bCs/>
                <w:color w:val="000000"/>
                <w:sz w:val="18"/>
                <w:szCs w:val="18"/>
                <w:lang w:val="it-IT" w:eastAsia="en-IE"/>
              </w:rPr>
              <w:t xml:space="preserve"> calcolate nel loro insieme</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7730A105" w14:textId="1C3F5A8E" w:rsidR="00711A77" w:rsidRPr="00656794" w:rsidRDefault="00710E21" w:rsidP="00EB7EC8">
            <w:pPr>
              <w:spacing w:after="0" w:line="240" w:lineRule="auto"/>
              <w:ind w:left="132"/>
              <w:jc w:val="center"/>
              <w:rPr>
                <w:rFonts w:ascii="Arial" w:eastAsia="Times New Roman" w:hAnsi="Arial" w:cs="Arial"/>
                <w:b/>
                <w:bCs/>
                <w:color w:val="000000"/>
                <w:sz w:val="18"/>
                <w:szCs w:val="18"/>
                <w:lang w:val="it-IT" w:eastAsia="en-IE"/>
              </w:rPr>
            </w:pPr>
            <w:r>
              <w:rPr>
                <w:rFonts w:ascii="Arial" w:eastAsia="Times New Roman" w:hAnsi="Arial" w:cs="Arial"/>
                <w:b/>
                <w:bCs/>
                <w:color w:val="000000"/>
                <w:sz w:val="18"/>
                <w:szCs w:val="18"/>
                <w:lang w:val="it-IT" w:eastAsia="en-IE"/>
              </w:rPr>
              <w:t>Passività lorde della migliore stima</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27E32AD" w14:textId="3319D76B" w:rsidR="00711A77" w:rsidRPr="00656794" w:rsidRDefault="00711A77" w:rsidP="00EB7EC8">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Margine di rischio</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0E6ACD40" w14:textId="1ECE56B4" w:rsidR="00711A77" w:rsidRPr="00656794" w:rsidRDefault="00711A77" w:rsidP="00EB7EC8">
            <w:pPr>
              <w:spacing w:after="0" w:line="240" w:lineRule="auto"/>
              <w:ind w:left="132" w:right="124"/>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 xml:space="preserve">Totale </w:t>
            </w:r>
            <w:r w:rsidR="00935B1B" w:rsidRPr="00656794">
              <w:rPr>
                <w:rFonts w:ascii="Arial" w:eastAsia="Times New Roman" w:hAnsi="Arial" w:cs="Arial"/>
                <w:b/>
                <w:bCs/>
                <w:color w:val="000000"/>
                <w:sz w:val="18"/>
                <w:szCs w:val="18"/>
                <w:lang w:val="it-IT" w:eastAsia="en-IE"/>
              </w:rPr>
              <w:t>Riserve tecniche</w:t>
            </w:r>
            <w:r w:rsidRPr="00656794">
              <w:rPr>
                <w:rFonts w:ascii="Arial" w:eastAsia="Times New Roman" w:hAnsi="Arial" w:cs="Arial"/>
                <w:b/>
                <w:bCs/>
                <w:color w:val="000000"/>
                <w:sz w:val="18"/>
                <w:szCs w:val="18"/>
                <w:lang w:val="it-IT" w:eastAsia="en-IE"/>
              </w:rPr>
              <w:t> </w:t>
            </w:r>
          </w:p>
        </w:tc>
      </w:tr>
      <w:tr w:rsidR="00C31F91" w:rsidRPr="00656794" w14:paraId="76E27617" w14:textId="77777777" w:rsidTr="00B27DDD">
        <w:trPr>
          <w:trHeight w:val="20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A9F3E" w14:textId="0D89DE8D" w:rsidR="000F4536" w:rsidRPr="00656794" w:rsidRDefault="000F4536" w:rsidP="000F4536">
            <w:pPr>
              <w:spacing w:after="0" w:line="240" w:lineRule="auto"/>
              <w:ind w:left="134"/>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 xml:space="preserve">Assicurazione </w:t>
            </w:r>
            <w:r w:rsidR="00446E83">
              <w:rPr>
                <w:rFonts w:ascii="Arial" w:eastAsia="Times New Roman" w:hAnsi="Arial" w:cs="Arial"/>
                <w:color w:val="000000"/>
                <w:sz w:val="18"/>
                <w:szCs w:val="18"/>
                <w:shd w:val="clear" w:color="auto" w:fill="FFFFFF"/>
                <w:lang w:val="it-IT" w:eastAsia="en-IE"/>
              </w:rPr>
              <w:t>con profitto</w:t>
            </w:r>
          </w:p>
          <w:p w14:paraId="13D3BD34" w14:textId="77777777" w:rsidR="000F4536" w:rsidRDefault="000F4536" w:rsidP="00110CD2">
            <w:pPr>
              <w:spacing w:after="0" w:line="240" w:lineRule="auto"/>
              <w:rPr>
                <w:rFonts w:ascii="Arial" w:eastAsia="Times New Roman" w:hAnsi="Arial" w:cs="Arial"/>
                <w:color w:val="000000"/>
                <w:sz w:val="18"/>
                <w:szCs w:val="18"/>
                <w:shd w:val="clear" w:color="auto" w:fill="FFFFFF"/>
                <w:lang w:val="it-IT" w:eastAsia="en-IE"/>
              </w:rPr>
            </w:pPr>
          </w:p>
          <w:p w14:paraId="3D0E21BF" w14:textId="77777777" w:rsidR="000F4536" w:rsidRPr="00656794" w:rsidRDefault="000F4536" w:rsidP="000F4536">
            <w:pPr>
              <w:spacing w:after="0" w:line="240" w:lineRule="auto"/>
              <w:ind w:left="134"/>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 xml:space="preserve">Assicurazione </w:t>
            </w:r>
            <w:r>
              <w:rPr>
                <w:rFonts w:ascii="Arial" w:eastAsia="Times New Roman" w:hAnsi="Arial" w:cs="Arial"/>
                <w:color w:val="000000"/>
                <w:sz w:val="18"/>
                <w:szCs w:val="18"/>
                <w:shd w:val="clear" w:color="auto" w:fill="FFFFFF"/>
                <w:lang w:val="it-IT" w:eastAsia="en-IE"/>
              </w:rPr>
              <w:t>Index-Linked e Unit-Linked</w:t>
            </w:r>
          </w:p>
          <w:p w14:paraId="62317C85" w14:textId="77777777" w:rsidR="000F4536" w:rsidRDefault="000F4536" w:rsidP="000F4536">
            <w:pPr>
              <w:spacing w:after="0" w:line="240" w:lineRule="auto"/>
              <w:ind w:left="134"/>
              <w:rPr>
                <w:rFonts w:ascii="Arial" w:eastAsia="Times New Roman" w:hAnsi="Arial" w:cs="Arial"/>
                <w:color w:val="000000"/>
                <w:sz w:val="18"/>
                <w:szCs w:val="18"/>
                <w:shd w:val="clear" w:color="auto" w:fill="FFFFFF"/>
                <w:lang w:val="it-IT" w:eastAsia="en-IE"/>
              </w:rPr>
            </w:pPr>
          </w:p>
          <w:p w14:paraId="1F82D5E2" w14:textId="77777777" w:rsidR="000F4536" w:rsidRPr="00695867" w:rsidRDefault="000F4536" w:rsidP="000F4536">
            <w:pPr>
              <w:spacing w:after="0" w:line="240" w:lineRule="auto"/>
              <w:ind w:left="134"/>
              <w:rPr>
                <w:rFonts w:ascii="Arial" w:eastAsia="Times New Roman" w:hAnsi="Arial" w:cs="Arial"/>
                <w:i/>
                <w:iCs/>
                <w:color w:val="000000"/>
                <w:sz w:val="18"/>
                <w:szCs w:val="18"/>
                <w:shd w:val="clear" w:color="auto" w:fill="FFFFFF"/>
                <w:lang w:val="it-IT" w:eastAsia="en-IE"/>
              </w:rPr>
            </w:pPr>
            <w:r w:rsidRPr="00695867">
              <w:rPr>
                <w:rFonts w:ascii="Arial" w:eastAsia="Times New Roman" w:hAnsi="Arial" w:cs="Arial"/>
                <w:i/>
                <w:iCs/>
                <w:color w:val="000000"/>
                <w:sz w:val="18"/>
                <w:szCs w:val="18"/>
                <w:shd w:val="clear" w:color="auto" w:fill="FFFFFF"/>
                <w:lang w:val="it-IT" w:eastAsia="en-IE"/>
              </w:rPr>
              <w:t>Portafoglio assicurativo italiano unit-linked</w:t>
            </w:r>
          </w:p>
          <w:p w14:paraId="7953F13A" w14:textId="77777777" w:rsidR="000F4536" w:rsidRPr="00695867" w:rsidRDefault="000F4536" w:rsidP="000F4536">
            <w:pPr>
              <w:spacing w:after="0" w:line="240" w:lineRule="auto"/>
              <w:ind w:left="134"/>
              <w:rPr>
                <w:rFonts w:ascii="Arial" w:eastAsia="Times New Roman" w:hAnsi="Arial" w:cs="Arial"/>
                <w:i/>
                <w:iCs/>
                <w:color w:val="000000"/>
                <w:sz w:val="18"/>
                <w:szCs w:val="18"/>
                <w:shd w:val="clear" w:color="auto" w:fill="FFFFFF"/>
                <w:lang w:val="it-IT" w:eastAsia="en-IE"/>
              </w:rPr>
            </w:pPr>
            <w:r w:rsidRPr="00695867">
              <w:rPr>
                <w:rFonts w:ascii="Arial" w:eastAsia="Times New Roman" w:hAnsi="Arial" w:cs="Arial"/>
                <w:i/>
                <w:iCs/>
                <w:color w:val="000000"/>
                <w:sz w:val="18"/>
                <w:szCs w:val="18"/>
                <w:shd w:val="clear" w:color="auto" w:fill="FFFFFF"/>
                <w:lang w:val="it-IT" w:eastAsia="en-IE"/>
              </w:rPr>
              <w:t xml:space="preserve">Portafoglio assicurativo </w:t>
            </w:r>
            <w:r>
              <w:rPr>
                <w:rFonts w:ascii="Arial" w:eastAsia="Times New Roman" w:hAnsi="Arial" w:cs="Arial"/>
                <w:i/>
                <w:iCs/>
                <w:color w:val="000000"/>
                <w:sz w:val="18"/>
                <w:szCs w:val="18"/>
                <w:shd w:val="clear" w:color="auto" w:fill="FFFFFF"/>
                <w:lang w:val="it-IT" w:eastAsia="en-IE"/>
              </w:rPr>
              <w:t xml:space="preserve">non </w:t>
            </w:r>
            <w:r w:rsidRPr="00695867">
              <w:rPr>
                <w:rFonts w:ascii="Arial" w:eastAsia="Times New Roman" w:hAnsi="Arial" w:cs="Arial"/>
                <w:i/>
                <w:iCs/>
                <w:color w:val="000000"/>
                <w:sz w:val="18"/>
                <w:szCs w:val="18"/>
                <w:shd w:val="clear" w:color="auto" w:fill="FFFFFF"/>
                <w:lang w:val="it-IT" w:eastAsia="en-IE"/>
              </w:rPr>
              <w:t>italiano unit-linked</w:t>
            </w:r>
          </w:p>
          <w:p w14:paraId="245A2BC4" w14:textId="77777777" w:rsidR="000F4536" w:rsidRDefault="000F4536" w:rsidP="000F4536">
            <w:pPr>
              <w:spacing w:after="0" w:line="240" w:lineRule="auto"/>
              <w:ind w:left="134"/>
              <w:rPr>
                <w:rFonts w:ascii="Arial" w:eastAsia="Times New Roman" w:hAnsi="Arial" w:cs="Arial"/>
                <w:color w:val="000000"/>
                <w:sz w:val="18"/>
                <w:szCs w:val="18"/>
                <w:shd w:val="clear" w:color="auto" w:fill="FFFFFF"/>
                <w:lang w:val="it-IT" w:eastAsia="en-IE"/>
              </w:rPr>
            </w:pPr>
          </w:p>
          <w:p w14:paraId="324DD50C" w14:textId="77777777" w:rsidR="000F4536" w:rsidRDefault="000F4536" w:rsidP="000F4536">
            <w:pPr>
              <w:spacing w:after="0" w:line="240" w:lineRule="auto"/>
              <w:ind w:left="134"/>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Altre assicurazioni sulla vita</w:t>
            </w:r>
          </w:p>
          <w:p w14:paraId="6EF2F4D7" w14:textId="77777777" w:rsidR="000F4536" w:rsidRPr="00656794" w:rsidRDefault="000F4536" w:rsidP="000F4536">
            <w:pPr>
              <w:spacing w:after="0" w:line="240" w:lineRule="auto"/>
              <w:ind w:left="134"/>
              <w:rPr>
                <w:rFonts w:ascii="Arial" w:eastAsia="Times New Roman" w:hAnsi="Arial" w:cs="Arial"/>
                <w:color w:val="000000"/>
                <w:sz w:val="18"/>
                <w:szCs w:val="18"/>
                <w:shd w:val="clear" w:color="auto" w:fill="FFFFFF"/>
                <w:lang w:val="it-IT" w:eastAsia="en-IE"/>
              </w:rPr>
            </w:pPr>
          </w:p>
          <w:p w14:paraId="6105BB37" w14:textId="6BEAAF42" w:rsidR="00B27DDD" w:rsidRPr="00656794" w:rsidRDefault="000F4536" w:rsidP="00711A77">
            <w:pPr>
              <w:spacing w:before="20" w:after="0" w:line="240" w:lineRule="auto"/>
              <w:ind w:left="132"/>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Assicurazione sanitaria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C0CBD" w14:textId="780AF546"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w:t>
            </w:r>
            <w:r w:rsidR="00711A77"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631</w:t>
            </w:r>
            <w:r w:rsidR="00711A77"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9 </w:t>
            </w:r>
          </w:p>
          <w:p w14:paraId="01B18DC0" w14:textId="05CE98C0" w:rsidR="00B27DDD" w:rsidRPr="00656794" w:rsidRDefault="000E2DA8" w:rsidP="00B27DDD">
            <w:pPr>
              <w:spacing w:before="204"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25</w:t>
            </w:r>
            <w:r w:rsidR="00711A77"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146</w:t>
            </w:r>
            <w:r w:rsidR="00711A77"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9 </w:t>
            </w:r>
          </w:p>
          <w:p w14:paraId="13979F1F" w14:textId="21C078CD" w:rsidR="00B27DDD" w:rsidRPr="00656794" w:rsidRDefault="006B25D7" w:rsidP="006B25D7">
            <w:pPr>
              <w:spacing w:before="146"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1</w:t>
            </w:r>
            <w:r w:rsidR="00711A77"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616</w:t>
            </w:r>
            <w:r w:rsidR="00711A77"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64</w:t>
            </w:r>
          </w:p>
          <w:p w14:paraId="3AC02DB9" w14:textId="61CE46EF" w:rsidR="00B27DDD" w:rsidRPr="00656794" w:rsidRDefault="000E2DA8" w:rsidP="00B27DDD">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23</w:t>
            </w:r>
            <w:r w:rsidR="00711A77"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530</w:t>
            </w:r>
            <w:r w:rsidR="00711A77"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3 </w:t>
            </w:r>
          </w:p>
          <w:p w14:paraId="79A6EB4B" w14:textId="2AF8D5DB" w:rsidR="00B27DDD" w:rsidRPr="00656794" w:rsidRDefault="000E2DA8" w:rsidP="00B27DDD">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82</w:t>
            </w:r>
            <w:r w:rsidR="00711A77"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6 </w:t>
            </w:r>
          </w:p>
          <w:p w14:paraId="139D9B54" w14:textId="534A622B" w:rsidR="00B27DDD" w:rsidRPr="00656794" w:rsidRDefault="00B27DDD" w:rsidP="00B27DDD">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14</w:t>
            </w:r>
            <w:r w:rsidR="00711A77"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C9B64" w14:textId="6990D54D"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-14</w:t>
            </w:r>
            <w:r w:rsidR="00711A77"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9 </w:t>
            </w:r>
          </w:p>
          <w:p w14:paraId="1BC215CF" w14:textId="27E6185A" w:rsidR="00B27DDD" w:rsidRPr="00656794" w:rsidRDefault="000E2DA8" w:rsidP="00B27DDD">
            <w:pPr>
              <w:spacing w:before="204"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-467</w:t>
            </w:r>
            <w:r w:rsidR="00711A77"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6 </w:t>
            </w:r>
          </w:p>
          <w:p w14:paraId="7FCB6ECD" w14:textId="0E2829E6" w:rsidR="00B27DDD" w:rsidRPr="00656794" w:rsidRDefault="000E2DA8" w:rsidP="00B27DDD">
            <w:pPr>
              <w:spacing w:before="146"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-9</w:t>
            </w:r>
            <w:r w:rsidR="00711A77"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4 </w:t>
            </w:r>
          </w:p>
          <w:p w14:paraId="3A66AF0D" w14:textId="182D5D44" w:rsidR="00B27DDD" w:rsidRPr="00656794" w:rsidRDefault="000E2DA8" w:rsidP="00B27DDD">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-458</w:t>
            </w:r>
            <w:r w:rsidR="00711A77"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2 </w:t>
            </w:r>
          </w:p>
          <w:p w14:paraId="105653E0" w14:textId="6680BF47" w:rsidR="00B27DDD" w:rsidRPr="00656794" w:rsidRDefault="000E2DA8" w:rsidP="00B27DDD">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1</w:t>
            </w:r>
            <w:r w:rsidR="00711A77"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052</w:t>
            </w:r>
            <w:r w:rsidR="00711A77"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1 </w:t>
            </w:r>
          </w:p>
          <w:p w14:paraId="5ADC7D28" w14:textId="2153CDD7" w:rsidR="00B27DDD" w:rsidRPr="00656794" w:rsidRDefault="00B27DDD" w:rsidP="00B27DDD">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169</w:t>
            </w:r>
            <w:r w:rsidR="00711A77"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A5DFE" w14:textId="7744CDC2"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14</w:t>
            </w:r>
            <w:r w:rsidR="00711A77"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1 </w:t>
            </w:r>
          </w:p>
          <w:p w14:paraId="23B4B9C8" w14:textId="133FCC4E" w:rsidR="00B27DDD" w:rsidRPr="00656794" w:rsidRDefault="000E2DA8" w:rsidP="00B27DDD">
            <w:pPr>
              <w:spacing w:before="204"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215</w:t>
            </w:r>
            <w:r w:rsidR="00711A77"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6 </w:t>
            </w:r>
          </w:p>
          <w:p w14:paraId="674805B2" w14:textId="3A7F5449" w:rsidR="00B27DDD" w:rsidRPr="00656794" w:rsidRDefault="000E2DA8" w:rsidP="00B27DDD">
            <w:pPr>
              <w:spacing w:before="146"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2</w:t>
            </w:r>
            <w:r w:rsidR="00711A77"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9 </w:t>
            </w:r>
          </w:p>
          <w:p w14:paraId="510F67E9" w14:textId="21C27FB8" w:rsidR="00B27DDD" w:rsidRPr="00656794" w:rsidRDefault="000E2DA8" w:rsidP="00B27DDD">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212</w:t>
            </w:r>
            <w:r w:rsidR="00711A77"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7 </w:t>
            </w:r>
          </w:p>
          <w:p w14:paraId="57124536" w14:textId="1F7BF585" w:rsidR="00B27DDD" w:rsidRPr="00656794" w:rsidRDefault="000E2DA8" w:rsidP="00B27DDD">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9</w:t>
            </w:r>
            <w:r w:rsidR="00711A77"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9 </w:t>
            </w:r>
          </w:p>
          <w:p w14:paraId="72F61436" w14:textId="58A7DF7C" w:rsidR="00B27DDD" w:rsidRPr="00656794" w:rsidRDefault="00B27DDD" w:rsidP="00B27DDD">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10</w:t>
            </w:r>
            <w:r w:rsidR="00711A77"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25586" w14:textId="11F5EB1B"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w:t>
            </w:r>
            <w:r w:rsidR="00711A77"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631</w:t>
            </w:r>
            <w:r w:rsidR="00711A77"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w:t>
            </w:r>
            <w:r w:rsidRPr="00656794">
              <w:rPr>
                <w:rFonts w:ascii="Arial" w:eastAsia="Times New Roman" w:hAnsi="Arial" w:cs="Arial"/>
                <w:color w:val="000000"/>
                <w:sz w:val="18"/>
                <w:szCs w:val="18"/>
                <w:lang w:val="it-IT" w:eastAsia="en-IE"/>
              </w:rPr>
              <w:t> </w:t>
            </w:r>
          </w:p>
          <w:p w14:paraId="6E47E3E6" w14:textId="7330A1A4" w:rsidR="00B27DDD" w:rsidRPr="00656794" w:rsidRDefault="000E2DA8" w:rsidP="00B27DDD">
            <w:pPr>
              <w:spacing w:before="204"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24</w:t>
            </w:r>
            <w:r w:rsidR="00711A77"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894</w:t>
            </w:r>
            <w:r w:rsidR="00711A77"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9</w:t>
            </w:r>
            <w:r w:rsidR="00B27DDD" w:rsidRPr="00656794">
              <w:rPr>
                <w:rFonts w:ascii="Arial" w:eastAsia="Times New Roman" w:hAnsi="Arial" w:cs="Arial"/>
                <w:color w:val="000000"/>
                <w:sz w:val="18"/>
                <w:szCs w:val="18"/>
                <w:lang w:val="it-IT" w:eastAsia="en-IE"/>
              </w:rPr>
              <w:t> </w:t>
            </w:r>
          </w:p>
          <w:p w14:paraId="56FECFD0" w14:textId="0F4A4B2D" w:rsidR="00B27DDD" w:rsidRPr="00656794" w:rsidRDefault="000E2DA8" w:rsidP="00B27DDD">
            <w:pPr>
              <w:spacing w:before="146"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1</w:t>
            </w:r>
            <w:r w:rsidR="00711A77"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610</w:t>
            </w:r>
            <w:r w:rsidR="00711A77"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1</w:t>
            </w:r>
            <w:r w:rsidR="00B27DDD" w:rsidRPr="00656794">
              <w:rPr>
                <w:rFonts w:ascii="Arial" w:eastAsia="Times New Roman" w:hAnsi="Arial" w:cs="Arial"/>
                <w:i/>
                <w:iCs/>
                <w:color w:val="000000"/>
                <w:sz w:val="18"/>
                <w:szCs w:val="18"/>
                <w:lang w:val="it-IT" w:eastAsia="en-IE"/>
              </w:rPr>
              <w:t> </w:t>
            </w:r>
          </w:p>
          <w:p w14:paraId="08772FB7" w14:textId="60853FF7" w:rsidR="00B27DDD" w:rsidRPr="00656794" w:rsidRDefault="000E2DA8" w:rsidP="00B27DDD">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i/>
                <w:iCs/>
                <w:color w:val="000000"/>
                <w:sz w:val="18"/>
                <w:szCs w:val="18"/>
                <w:shd w:val="clear" w:color="auto" w:fill="FFFFFF"/>
                <w:lang w:val="it-IT" w:eastAsia="en-IE"/>
              </w:rPr>
              <w:br/>
            </w:r>
            <w:r w:rsidR="00B27DDD" w:rsidRPr="00656794">
              <w:rPr>
                <w:rFonts w:ascii="Arial" w:eastAsia="Times New Roman" w:hAnsi="Arial" w:cs="Arial"/>
                <w:i/>
                <w:iCs/>
                <w:color w:val="000000"/>
                <w:sz w:val="18"/>
                <w:szCs w:val="18"/>
                <w:shd w:val="clear" w:color="auto" w:fill="FFFFFF"/>
                <w:lang w:val="it-IT" w:eastAsia="en-IE"/>
              </w:rPr>
              <w:t>23</w:t>
            </w:r>
            <w:r w:rsidR="00711A77"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284</w:t>
            </w:r>
            <w:r w:rsidR="00711A77" w:rsidRPr="00656794">
              <w:rPr>
                <w:rFonts w:ascii="Arial" w:eastAsia="Times New Roman" w:hAnsi="Arial" w:cs="Arial"/>
                <w:i/>
                <w:iCs/>
                <w:color w:val="000000"/>
                <w:sz w:val="18"/>
                <w:szCs w:val="18"/>
                <w:shd w:val="clear" w:color="auto" w:fill="FFFFFF"/>
                <w:lang w:val="it-IT" w:eastAsia="en-IE"/>
              </w:rPr>
              <w:t>,</w:t>
            </w:r>
            <w:r w:rsidR="00B27DDD" w:rsidRPr="00656794">
              <w:rPr>
                <w:rFonts w:ascii="Arial" w:eastAsia="Times New Roman" w:hAnsi="Arial" w:cs="Arial"/>
                <w:i/>
                <w:iCs/>
                <w:color w:val="000000"/>
                <w:sz w:val="18"/>
                <w:szCs w:val="18"/>
                <w:shd w:val="clear" w:color="auto" w:fill="FFFFFF"/>
                <w:lang w:val="it-IT" w:eastAsia="en-IE"/>
              </w:rPr>
              <w:t>8</w:t>
            </w:r>
            <w:r w:rsidR="00B27DDD" w:rsidRPr="00656794">
              <w:rPr>
                <w:rFonts w:ascii="Arial" w:eastAsia="Times New Roman" w:hAnsi="Arial" w:cs="Arial"/>
                <w:i/>
                <w:iCs/>
                <w:color w:val="000000"/>
                <w:sz w:val="18"/>
                <w:szCs w:val="18"/>
                <w:lang w:val="it-IT" w:eastAsia="en-IE"/>
              </w:rPr>
              <w:t> </w:t>
            </w:r>
          </w:p>
          <w:p w14:paraId="5F6E2817" w14:textId="04C3F2A6" w:rsidR="00B27DDD" w:rsidRPr="00656794" w:rsidRDefault="000E2DA8" w:rsidP="00B27DDD">
            <w:pPr>
              <w:spacing w:before="90" w:after="0" w:line="240" w:lineRule="auto"/>
              <w:jc w:val="center"/>
              <w:rPr>
                <w:rFonts w:ascii="Times New Roman" w:eastAsia="Times New Roman" w:hAnsi="Times New Roman" w:cs="Times New Roman"/>
                <w:sz w:val="24"/>
                <w:szCs w:val="24"/>
                <w:lang w:val="it-IT" w:eastAsia="en-IE"/>
              </w:rPr>
            </w:pPr>
            <w:r>
              <w:rPr>
                <w:rFonts w:ascii="Arial" w:eastAsia="Times New Roman" w:hAnsi="Arial" w:cs="Arial"/>
                <w:color w:val="000000"/>
                <w:sz w:val="18"/>
                <w:szCs w:val="18"/>
                <w:shd w:val="clear" w:color="auto" w:fill="FFFFFF"/>
                <w:lang w:val="it-IT" w:eastAsia="en-IE"/>
              </w:rPr>
              <w:br/>
            </w:r>
            <w:r w:rsidR="00B27DDD" w:rsidRPr="00656794">
              <w:rPr>
                <w:rFonts w:ascii="Arial" w:eastAsia="Times New Roman" w:hAnsi="Arial" w:cs="Arial"/>
                <w:color w:val="000000"/>
                <w:sz w:val="18"/>
                <w:szCs w:val="18"/>
                <w:shd w:val="clear" w:color="auto" w:fill="FFFFFF"/>
                <w:lang w:val="it-IT" w:eastAsia="en-IE"/>
              </w:rPr>
              <w:t>1</w:t>
            </w:r>
            <w:r w:rsidR="00711A77"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144</w:t>
            </w:r>
            <w:r w:rsidR="00711A77" w:rsidRPr="00656794">
              <w:rPr>
                <w:rFonts w:ascii="Arial" w:eastAsia="Times New Roman" w:hAnsi="Arial" w:cs="Arial"/>
                <w:color w:val="000000"/>
                <w:sz w:val="18"/>
                <w:szCs w:val="18"/>
                <w:shd w:val="clear" w:color="auto" w:fill="FFFFFF"/>
                <w:lang w:val="it-IT" w:eastAsia="en-IE"/>
              </w:rPr>
              <w:t>,</w:t>
            </w:r>
            <w:r w:rsidR="00B27DDD" w:rsidRPr="00656794">
              <w:rPr>
                <w:rFonts w:ascii="Arial" w:eastAsia="Times New Roman" w:hAnsi="Arial" w:cs="Arial"/>
                <w:color w:val="000000"/>
                <w:sz w:val="18"/>
                <w:szCs w:val="18"/>
                <w:shd w:val="clear" w:color="auto" w:fill="FFFFFF"/>
                <w:lang w:val="it-IT" w:eastAsia="en-IE"/>
              </w:rPr>
              <w:t>6</w:t>
            </w:r>
            <w:r w:rsidR="00B27DDD" w:rsidRPr="00656794">
              <w:rPr>
                <w:rFonts w:ascii="Arial" w:eastAsia="Times New Roman" w:hAnsi="Arial" w:cs="Arial"/>
                <w:color w:val="000000"/>
                <w:sz w:val="18"/>
                <w:szCs w:val="18"/>
                <w:lang w:val="it-IT" w:eastAsia="en-IE"/>
              </w:rPr>
              <w:t> </w:t>
            </w:r>
          </w:p>
          <w:p w14:paraId="2004E56E" w14:textId="5AE7AC99" w:rsidR="00B27DDD" w:rsidRPr="00656794" w:rsidRDefault="00B27DDD" w:rsidP="00B27DDD">
            <w:pPr>
              <w:spacing w:before="90"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193</w:t>
            </w:r>
            <w:r w:rsidR="00711A77"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8</w:t>
            </w:r>
          </w:p>
        </w:tc>
      </w:tr>
      <w:tr w:rsidR="00C31F91" w:rsidRPr="00656794" w14:paraId="6616EAEA" w14:textId="77777777" w:rsidTr="00B27DDD">
        <w:trPr>
          <w:trHeight w:val="3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934FB" w14:textId="7F1A4B97" w:rsidR="00B27DDD" w:rsidRPr="00656794" w:rsidRDefault="00B27DDD" w:rsidP="00B27DDD">
            <w:pPr>
              <w:spacing w:after="0" w:line="240" w:lineRule="auto"/>
              <w:ind w:left="121"/>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Total</w:t>
            </w:r>
            <w:r w:rsidR="00711A77" w:rsidRPr="00656794">
              <w:rPr>
                <w:rFonts w:ascii="Arial" w:eastAsia="Times New Roman" w:hAnsi="Arial" w:cs="Arial"/>
                <w:b/>
                <w:bCs/>
                <w:color w:val="000000"/>
                <w:sz w:val="18"/>
                <w:szCs w:val="18"/>
                <w:shd w:val="clear" w:color="auto" w:fill="FFFFFF"/>
                <w:lang w:val="it-IT" w:eastAsia="en-IE"/>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27F49" w14:textId="204F92B4"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26</w:t>
            </w:r>
            <w:r w:rsidR="00711A77"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875</w:t>
            </w:r>
            <w:r w:rsidR="00711A77"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A0841" w14:textId="6BF96DFE"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738</w:t>
            </w:r>
            <w:r w:rsidR="00711A77"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BA5D0" w14:textId="4DE31B85"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250</w:t>
            </w:r>
            <w:r w:rsidR="00711A77"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514AC" w14:textId="5A3C7337" w:rsidR="00B27DDD" w:rsidRPr="00656794" w:rsidRDefault="00B27DDD" w:rsidP="00B27DD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27</w:t>
            </w:r>
            <w:r w:rsidR="00711A77"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864</w:t>
            </w:r>
            <w:r w:rsidR="00711A77"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4</w:t>
            </w:r>
          </w:p>
        </w:tc>
      </w:tr>
    </w:tbl>
    <w:p w14:paraId="6A98A89B" w14:textId="673D16D5" w:rsidR="00DD6388" w:rsidRPr="00110CD2" w:rsidRDefault="00935B1B" w:rsidP="00B27DDD">
      <w:pPr>
        <w:pStyle w:val="NormalWeb"/>
        <w:ind w:right="102"/>
        <w:jc w:val="both"/>
        <w:rPr>
          <w:rFonts w:ascii="Arial" w:hAnsi="Arial" w:cs="Arial"/>
          <w:color w:val="000000"/>
          <w:sz w:val="12"/>
          <w:szCs w:val="12"/>
          <w:shd w:val="clear" w:color="auto" w:fill="FFFFFF"/>
          <w:lang w:val="it-IT"/>
        </w:rPr>
      </w:pPr>
      <w:r w:rsidRPr="00110CD2">
        <w:rPr>
          <w:rFonts w:ascii="Arial" w:hAnsi="Arial" w:cs="Arial"/>
          <w:color w:val="000000"/>
          <w:sz w:val="12"/>
          <w:szCs w:val="12"/>
          <w:shd w:val="clear" w:color="auto" w:fill="FFFFFF"/>
          <w:lang w:val="it-IT"/>
        </w:rPr>
        <w:t xml:space="preserve">Fonte: </w:t>
      </w:r>
      <w:r w:rsidR="00DD6388" w:rsidRPr="00110CD2">
        <w:rPr>
          <w:rFonts w:ascii="Arial" w:hAnsi="Arial" w:cs="Arial"/>
          <w:color w:val="000000"/>
          <w:sz w:val="12"/>
          <w:szCs w:val="12"/>
          <w:shd w:val="clear" w:color="auto" w:fill="FFFFFF"/>
          <w:lang w:val="it-IT"/>
        </w:rPr>
        <w:t>ZLAP 2020 Rapporto sulla solvibilità e sulla condizione finanziaria; Analisi ZLAP</w:t>
      </w:r>
    </w:p>
    <w:p w14:paraId="05298AB1" w14:textId="457B8B3D"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 dati delle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Riserve tecniche calcolate nel loro insieme</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ambito del bilancio di ZLAP, corrispondono alle passività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impresa e sono determinate direttamente dal valore delle attività sottostanti.</w:t>
      </w:r>
    </w:p>
    <w:p w14:paraId="25BA4C91" w14:textId="2B98AA9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migliore stima della passività lorda è una media ponderata in base alle probabilità dei flussi di cassa futuri, scontati utilizzando una struttura a termine dei tassi di interesse prescritta e priva di rischio, mentre il margine di rischio è destinato a riflettere la compensazione che una terza parte richiederebbe per i costi di capitale sostenuti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assunzione delle responsabilità assicurative.</w:t>
      </w:r>
    </w:p>
    <w:p w14:paraId="77182D37" w14:textId="77777777"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 termini di giudizi chiave utilizzati per determinare le riserve tecniche, ZLAP non applica alcuna misura transitoria o aggiustamento della volatilità alla struttura a termine dei tassi di interesse senza rischio prescritta. Non sono stato informato di altri giudizi chiave espressi.</w:t>
      </w:r>
    </w:p>
    <w:p w14:paraId="7427509D" w14:textId="6111ABFE" w:rsidR="00B27DDD" w:rsidRPr="00656794" w:rsidRDefault="00B27DDD" w:rsidP="00B27DDD">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La tabella 4.2 che segue considera le Riserve Tecniche calcolate nel loro insieme e la passività lorda </w:t>
      </w:r>
      <w:r w:rsidR="00CF7F39">
        <w:rPr>
          <w:rFonts w:ascii="Arial" w:hAnsi="Arial" w:cs="Arial"/>
          <w:color w:val="000000"/>
          <w:sz w:val="20"/>
          <w:szCs w:val="20"/>
          <w:lang w:val="it-IT"/>
        </w:rPr>
        <w:t>Migliore Stima</w:t>
      </w:r>
      <w:r w:rsidRPr="00656794">
        <w:rPr>
          <w:rFonts w:ascii="Arial" w:hAnsi="Arial" w:cs="Arial"/>
          <w:color w:val="000000"/>
          <w:sz w:val="20"/>
          <w:szCs w:val="20"/>
          <w:lang w:val="it-IT"/>
        </w:rPr>
        <w:t xml:space="preserve"> per il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isolatamente (escludendo cioè il </w:t>
      </w:r>
      <w:r w:rsidR="00F35542" w:rsidRPr="00656794">
        <w:rPr>
          <w:rFonts w:ascii="Arial" w:hAnsi="Arial" w:cs="Arial"/>
          <w:color w:val="000000"/>
          <w:sz w:val="20"/>
          <w:szCs w:val="20"/>
          <w:lang w:val="it-IT"/>
        </w:rPr>
        <w:t>Margine di rischio</w:t>
      </w:r>
      <w:r w:rsidRPr="00656794">
        <w:rPr>
          <w:rFonts w:ascii="Arial" w:hAnsi="Arial" w:cs="Arial"/>
          <w:color w:val="000000"/>
          <w:sz w:val="20"/>
          <w:szCs w:val="20"/>
          <w:lang w:val="it-IT"/>
        </w:rPr>
        <w:t>).</w:t>
      </w:r>
    </w:p>
    <w:p w14:paraId="7B954D40" w14:textId="77777777" w:rsidR="00322631" w:rsidRPr="00656794" w:rsidRDefault="00322631" w:rsidP="00B27DDD">
      <w:pPr>
        <w:pStyle w:val="NormalWeb"/>
        <w:ind w:right="102"/>
        <w:jc w:val="both"/>
        <w:rPr>
          <w:rFonts w:ascii="Arial" w:hAnsi="Arial" w:cs="Arial"/>
          <w:color w:val="000000"/>
          <w:sz w:val="20"/>
          <w:szCs w:val="20"/>
          <w:lang w:val="it-IT"/>
        </w:rPr>
      </w:pPr>
    </w:p>
    <w:p w14:paraId="01CCA419" w14:textId="77777777" w:rsidR="00322631" w:rsidRPr="00656794" w:rsidRDefault="00322631" w:rsidP="00B27DDD">
      <w:pPr>
        <w:pStyle w:val="NormalWeb"/>
        <w:ind w:right="102"/>
        <w:jc w:val="both"/>
        <w:rPr>
          <w:rFonts w:ascii="Arial" w:hAnsi="Arial" w:cs="Arial"/>
          <w:color w:val="000000"/>
          <w:sz w:val="20"/>
          <w:szCs w:val="20"/>
          <w:lang w:val="it-IT"/>
        </w:rPr>
      </w:pPr>
    </w:p>
    <w:p w14:paraId="38AC3173" w14:textId="77777777" w:rsidR="00322631" w:rsidRPr="00656794" w:rsidRDefault="00322631" w:rsidP="00B27DDD">
      <w:pPr>
        <w:pStyle w:val="NormalWeb"/>
        <w:ind w:right="102"/>
        <w:jc w:val="both"/>
        <w:rPr>
          <w:rFonts w:ascii="Arial" w:hAnsi="Arial" w:cs="Arial"/>
          <w:color w:val="000000"/>
          <w:sz w:val="20"/>
          <w:szCs w:val="20"/>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9D2427" w:rsidRPr="00B84464" w14:paraId="736142EC" w14:textId="77777777" w:rsidTr="00D40481">
        <w:trPr>
          <w:trHeight w:val="389"/>
        </w:trPr>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1F6B5324" w14:textId="206789EC" w:rsidR="009D2427" w:rsidRPr="00656794" w:rsidRDefault="00F43721" w:rsidP="00D40481">
            <w:pPr>
              <w:spacing w:before="98" w:after="0" w:line="240" w:lineRule="auto"/>
              <w:ind w:right="1004"/>
              <w:rPr>
                <w:rFonts w:ascii="Times New Roman" w:eastAsia="Times New Roman" w:hAnsi="Times New Roman" w:cs="Times New Roman"/>
                <w:b/>
                <w:bCs/>
                <w:sz w:val="24"/>
                <w:szCs w:val="24"/>
                <w:lang w:val="it-IT" w:eastAsia="en-IE"/>
              </w:rPr>
            </w:pPr>
            <w:r w:rsidRPr="00656794">
              <w:rPr>
                <w:rFonts w:ascii="Arial" w:eastAsia="Times New Roman" w:hAnsi="Arial" w:cs="Arial"/>
                <w:b/>
                <w:bCs/>
                <w:color w:val="FFFFFF" w:themeColor="background1"/>
                <w:sz w:val="18"/>
                <w:szCs w:val="18"/>
                <w:lang w:val="it-IT" w:eastAsia="en-IE"/>
              </w:rPr>
              <w:t>Ta</w:t>
            </w:r>
            <w:r w:rsidR="00D40481" w:rsidRPr="00656794">
              <w:rPr>
                <w:rFonts w:ascii="Arial" w:eastAsia="Times New Roman" w:hAnsi="Arial" w:cs="Arial"/>
                <w:b/>
                <w:bCs/>
                <w:color w:val="FFFFFF" w:themeColor="background1"/>
                <w:sz w:val="18"/>
                <w:szCs w:val="18"/>
                <w:lang w:val="it-IT" w:eastAsia="en-IE"/>
              </w:rPr>
              <w:t>bella</w:t>
            </w:r>
            <w:r w:rsidRPr="00656794">
              <w:rPr>
                <w:rFonts w:ascii="Arial" w:eastAsia="Times New Roman" w:hAnsi="Arial" w:cs="Arial"/>
                <w:b/>
                <w:bCs/>
                <w:color w:val="FFFFFF" w:themeColor="background1"/>
                <w:sz w:val="18"/>
                <w:szCs w:val="18"/>
                <w:lang w:val="it-IT" w:eastAsia="en-IE"/>
              </w:rPr>
              <w:t xml:space="preserve"> 4.2(a): Riserve tecniche del portafoglio unit linked italiane al 31 dicembre 2020 (milioni di euro)</w:t>
            </w:r>
          </w:p>
        </w:tc>
      </w:tr>
    </w:tbl>
    <w:p w14:paraId="594FB5DE" w14:textId="7117B145" w:rsidR="009D2427" w:rsidRPr="00656794" w:rsidRDefault="009D2427" w:rsidP="009D2427">
      <w:pPr>
        <w:spacing w:after="0" w:line="240" w:lineRule="auto"/>
        <w:rPr>
          <w:rFonts w:ascii="Arial" w:eastAsia="Times New Roman" w:hAnsi="Arial" w:cs="Arial"/>
          <w:b/>
          <w:bCs/>
          <w:color w:val="000000"/>
          <w:sz w:val="18"/>
          <w:szCs w:val="18"/>
          <w:lang w:val="it-IT" w:eastAsia="en-IE"/>
        </w:rPr>
      </w:pPr>
    </w:p>
    <w:tbl>
      <w:tblPr>
        <w:tblW w:w="0" w:type="auto"/>
        <w:tblCellMar>
          <w:top w:w="15" w:type="dxa"/>
          <w:left w:w="15" w:type="dxa"/>
          <w:bottom w:w="15" w:type="dxa"/>
          <w:right w:w="15" w:type="dxa"/>
        </w:tblCellMar>
        <w:tblLook w:val="04A0" w:firstRow="1" w:lastRow="0" w:firstColumn="1" w:lastColumn="0" w:noHBand="0" w:noVBand="1"/>
      </w:tblPr>
      <w:tblGrid>
        <w:gridCol w:w="2177"/>
        <w:gridCol w:w="2047"/>
        <w:gridCol w:w="2268"/>
        <w:gridCol w:w="2429"/>
      </w:tblGrid>
      <w:tr w:rsidR="00F25498" w:rsidRPr="00B84464" w14:paraId="60CB768E" w14:textId="77777777" w:rsidTr="0084733C">
        <w:trPr>
          <w:trHeight w:val="217"/>
        </w:trPr>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367E97D5" w14:textId="14816B93" w:rsidR="00F25498" w:rsidRPr="00656794" w:rsidRDefault="00F25498" w:rsidP="00D40481">
            <w:pPr>
              <w:spacing w:after="0" w:line="240" w:lineRule="auto"/>
              <w:ind w:left="132"/>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Prodotto</w:t>
            </w:r>
          </w:p>
        </w:tc>
        <w:tc>
          <w:tcPr>
            <w:tcW w:w="20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31938C37" w14:textId="4E749C98" w:rsidR="00F25498" w:rsidRPr="00656794" w:rsidRDefault="001A0A9B" w:rsidP="00D40481">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Riserve tecniche calcolate nel loro insieme</w:t>
            </w:r>
          </w:p>
        </w:tc>
        <w:tc>
          <w:tcPr>
            <w:tcW w:w="22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0476D88D" w14:textId="1AB6920A" w:rsidR="00F25498" w:rsidRPr="00656794" w:rsidRDefault="00710E21" w:rsidP="00D40481">
            <w:pPr>
              <w:spacing w:after="0" w:line="240" w:lineRule="auto"/>
              <w:ind w:left="132"/>
              <w:jc w:val="center"/>
              <w:rPr>
                <w:rFonts w:ascii="Arial" w:eastAsia="Times New Roman" w:hAnsi="Arial" w:cs="Arial"/>
                <w:b/>
                <w:bCs/>
                <w:color w:val="000000"/>
                <w:sz w:val="18"/>
                <w:szCs w:val="18"/>
                <w:lang w:val="it-IT" w:eastAsia="en-IE"/>
              </w:rPr>
            </w:pPr>
            <w:r>
              <w:rPr>
                <w:rFonts w:ascii="Arial" w:eastAsia="Times New Roman" w:hAnsi="Arial" w:cs="Arial"/>
                <w:b/>
                <w:bCs/>
                <w:color w:val="000000"/>
                <w:sz w:val="18"/>
                <w:szCs w:val="18"/>
                <w:lang w:val="it-IT" w:eastAsia="en-IE"/>
              </w:rPr>
              <w:t>Passività lorde della migliore stima</w:t>
            </w:r>
          </w:p>
        </w:tc>
        <w:tc>
          <w:tcPr>
            <w:tcW w:w="24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35281C8C" w14:textId="77777777" w:rsidR="001362AC" w:rsidRPr="00656794" w:rsidRDefault="001362AC" w:rsidP="00D40481">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Riserve tecniche totali (escluso</w:t>
            </w:r>
          </w:p>
          <w:p w14:paraId="5E5E4009" w14:textId="5EDC0378" w:rsidR="00F25498" w:rsidRPr="00656794" w:rsidRDefault="001362AC" w:rsidP="00D40481">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margine di rischio)</w:t>
            </w:r>
          </w:p>
        </w:tc>
      </w:tr>
      <w:tr w:rsidR="00F25498" w:rsidRPr="00656794" w14:paraId="4C804781" w14:textId="77777777" w:rsidTr="0084733C">
        <w:trPr>
          <w:trHeight w:val="2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EBB65" w14:textId="66F3C569" w:rsidR="00F25498" w:rsidRPr="00656794" w:rsidRDefault="001362AC" w:rsidP="00F25498">
            <w:pPr>
              <w:spacing w:after="0" w:line="240" w:lineRule="auto"/>
              <w:ind w:left="128"/>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Libertà di servizi</w:t>
            </w:r>
            <w:r w:rsidR="00F25498" w:rsidRPr="00656794">
              <w:rPr>
                <w:rFonts w:ascii="Arial" w:eastAsia="Times New Roman" w:hAnsi="Arial" w:cs="Arial"/>
                <w:color w:val="000000"/>
                <w:sz w:val="18"/>
                <w:szCs w:val="18"/>
                <w:shd w:val="clear" w:color="auto" w:fill="FFFFFF"/>
                <w:lang w:val="it-IT" w:eastAsia="en-IE"/>
              </w:rPr>
              <w:t> </w:t>
            </w:r>
          </w:p>
        </w:tc>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7DA98" w14:textId="4EE75EAF" w:rsidR="00F25498" w:rsidRPr="00656794" w:rsidRDefault="00F25498" w:rsidP="00F25498">
            <w:pPr>
              <w:spacing w:after="0" w:line="240" w:lineRule="auto"/>
              <w:jc w:val="center"/>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69</w:t>
            </w:r>
            <w:r w:rsidR="00B8708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3 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9EF4D" w14:textId="499F6438" w:rsidR="00F25498" w:rsidRPr="00656794" w:rsidRDefault="00F25498" w:rsidP="00F25498">
            <w:pPr>
              <w:spacing w:after="0" w:line="240" w:lineRule="auto"/>
              <w:jc w:val="center"/>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-2</w:t>
            </w:r>
            <w:r w:rsidR="00B8708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1 </w:t>
            </w:r>
          </w:p>
        </w:tc>
        <w:tc>
          <w:tcPr>
            <w:tcW w:w="2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E675D" w14:textId="5DFA7605" w:rsidR="00F25498" w:rsidRPr="00656794" w:rsidRDefault="00F25498" w:rsidP="00F25498">
            <w:pPr>
              <w:spacing w:after="0" w:line="240" w:lineRule="auto"/>
              <w:jc w:val="center"/>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67</w:t>
            </w:r>
            <w:r w:rsidR="00B8708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2</w:t>
            </w:r>
          </w:p>
        </w:tc>
      </w:tr>
      <w:tr w:rsidR="009D2427" w:rsidRPr="00656794" w14:paraId="3E57B741" w14:textId="77777777" w:rsidTr="0084733C">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C9E3F" w14:textId="2F2FD914" w:rsidR="009D2427" w:rsidRPr="00656794" w:rsidRDefault="001362AC" w:rsidP="009D2427">
            <w:pPr>
              <w:spacing w:after="0" w:line="240" w:lineRule="auto"/>
              <w:ind w:left="128"/>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Libertà di Stabilimento</w:t>
            </w:r>
            <w:r w:rsidR="009D2427" w:rsidRPr="00656794">
              <w:rPr>
                <w:rFonts w:ascii="Arial" w:eastAsia="Times New Roman" w:hAnsi="Arial" w:cs="Arial"/>
                <w:color w:val="000000"/>
                <w:sz w:val="18"/>
                <w:szCs w:val="18"/>
                <w:shd w:val="clear" w:color="auto" w:fill="FFFFFF"/>
                <w:lang w:val="it-IT" w:eastAsia="en-IE"/>
              </w:rPr>
              <w:t> </w:t>
            </w:r>
          </w:p>
        </w:tc>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FD72A" w14:textId="0F704290"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w:t>
            </w:r>
            <w:r w:rsidR="00B8708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763</w:t>
            </w:r>
            <w:r w:rsidR="00B8708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7 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E3EE5" w14:textId="325D2B33"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-9</w:t>
            </w:r>
            <w:r w:rsidR="00B8708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1 </w:t>
            </w:r>
          </w:p>
        </w:tc>
        <w:tc>
          <w:tcPr>
            <w:tcW w:w="2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FD2D4" w14:textId="4ECE8761"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w:t>
            </w:r>
            <w:r w:rsidR="00B8708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754</w:t>
            </w:r>
            <w:r w:rsidR="00B87083"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6</w:t>
            </w:r>
          </w:p>
        </w:tc>
      </w:tr>
      <w:tr w:rsidR="009D2427" w:rsidRPr="00656794" w14:paraId="4B2857B0" w14:textId="77777777" w:rsidTr="0084733C">
        <w:trPr>
          <w:trHeight w:val="2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E00D8" w14:textId="0E7EEE20" w:rsidR="009D2427" w:rsidRPr="00656794" w:rsidRDefault="009D2427" w:rsidP="009D2427">
            <w:pPr>
              <w:spacing w:after="0" w:line="240" w:lineRule="auto"/>
              <w:ind w:left="117"/>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Total</w:t>
            </w:r>
            <w:r w:rsidR="001362AC" w:rsidRPr="00656794">
              <w:rPr>
                <w:rFonts w:ascii="Arial" w:eastAsia="Times New Roman" w:hAnsi="Arial" w:cs="Arial"/>
                <w:b/>
                <w:bCs/>
                <w:color w:val="000000"/>
                <w:sz w:val="18"/>
                <w:szCs w:val="18"/>
                <w:shd w:val="clear" w:color="auto" w:fill="FFFFFF"/>
                <w:lang w:val="it-IT" w:eastAsia="en-IE"/>
              </w:rPr>
              <w:t>e</w:t>
            </w:r>
          </w:p>
        </w:tc>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33C35" w14:textId="7B5CD6A2"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w:t>
            </w:r>
            <w:r w:rsidR="00B8708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833</w:t>
            </w:r>
            <w:r w:rsidR="00B8708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1 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979A5" w14:textId="65C4A0B5"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-11</w:t>
            </w:r>
            <w:r w:rsidR="00B8708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2 </w:t>
            </w:r>
          </w:p>
        </w:tc>
        <w:tc>
          <w:tcPr>
            <w:tcW w:w="2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C9837" w14:textId="54CC2145"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w:t>
            </w:r>
            <w:r w:rsidR="00B8708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821</w:t>
            </w:r>
            <w:r w:rsidR="00B8708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9</w:t>
            </w:r>
          </w:p>
        </w:tc>
      </w:tr>
      <w:tr w:rsidR="009D2427" w:rsidRPr="00656794" w14:paraId="7D80ADDC" w14:textId="77777777" w:rsidTr="0084733C">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8CF61" w14:textId="1D6D8FA4" w:rsidR="009D2427" w:rsidRPr="00656794" w:rsidRDefault="009D2427" w:rsidP="009D2427">
            <w:pPr>
              <w:spacing w:after="0" w:line="240" w:lineRule="auto"/>
              <w:ind w:left="126"/>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Percent</w:t>
            </w:r>
            <w:r w:rsidR="00B87083" w:rsidRPr="00656794">
              <w:rPr>
                <w:rFonts w:ascii="Arial" w:eastAsia="Times New Roman" w:hAnsi="Arial" w:cs="Arial"/>
                <w:b/>
                <w:bCs/>
                <w:color w:val="000000"/>
                <w:sz w:val="18"/>
                <w:szCs w:val="18"/>
                <w:shd w:val="clear" w:color="auto" w:fill="FFFFFF"/>
                <w:lang w:val="it-IT" w:eastAsia="en-IE"/>
              </w:rPr>
              <w:t>uale di</w:t>
            </w:r>
            <w:r w:rsidRPr="00656794">
              <w:rPr>
                <w:rFonts w:ascii="Arial" w:eastAsia="Times New Roman" w:hAnsi="Arial" w:cs="Arial"/>
                <w:b/>
                <w:bCs/>
                <w:color w:val="000000"/>
                <w:sz w:val="18"/>
                <w:szCs w:val="18"/>
                <w:shd w:val="clear" w:color="auto" w:fill="FFFFFF"/>
                <w:lang w:val="it-IT" w:eastAsia="en-IE"/>
              </w:rPr>
              <w:t xml:space="preserve"> ZLAP </w:t>
            </w:r>
            <w:r w:rsidRPr="00656794">
              <w:rPr>
                <w:rFonts w:ascii="Arial" w:eastAsia="Times New Roman" w:hAnsi="Arial" w:cs="Arial"/>
                <w:b/>
                <w:bCs/>
                <w:color w:val="000000"/>
                <w:sz w:val="18"/>
                <w:szCs w:val="18"/>
                <w:lang w:val="it-IT" w:eastAsia="en-IE"/>
              </w:rPr>
              <w:t> </w:t>
            </w:r>
          </w:p>
          <w:p w14:paraId="7DF8B146" w14:textId="3F642028" w:rsidR="009D2427" w:rsidRPr="00656794" w:rsidRDefault="00B87083" w:rsidP="009D2427">
            <w:pPr>
              <w:spacing w:after="0" w:line="240" w:lineRule="auto"/>
              <w:ind w:left="117"/>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Riserve tecniche</w:t>
            </w:r>
            <w:r w:rsidR="009D2427" w:rsidRPr="00656794">
              <w:rPr>
                <w:rFonts w:ascii="Arial" w:eastAsia="Times New Roman" w:hAnsi="Arial" w:cs="Arial"/>
                <w:b/>
                <w:bCs/>
                <w:color w:val="000000"/>
                <w:sz w:val="18"/>
                <w:szCs w:val="18"/>
                <w:shd w:val="clear" w:color="auto" w:fill="FFFFFF"/>
                <w:lang w:val="it-IT" w:eastAsia="en-IE"/>
              </w:rPr>
              <w:t> </w:t>
            </w:r>
          </w:p>
        </w:tc>
        <w:tc>
          <w:tcPr>
            <w:tcW w:w="20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5BFFE" w14:textId="44468BBD"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7</w:t>
            </w:r>
            <w:r w:rsidR="00B8708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5%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34CF6" w14:textId="77777777"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 </w:t>
            </w:r>
          </w:p>
        </w:tc>
        <w:tc>
          <w:tcPr>
            <w:tcW w:w="2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C6377" w14:textId="4059FDA8"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7</w:t>
            </w:r>
            <w:r w:rsidR="00B87083"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3%</w:t>
            </w:r>
          </w:p>
        </w:tc>
      </w:tr>
    </w:tbl>
    <w:p w14:paraId="687B3FC9" w14:textId="0B806954" w:rsidR="009D2427" w:rsidRPr="00656794" w:rsidRDefault="00680316" w:rsidP="0084733C">
      <w:pPr>
        <w:spacing w:after="0" w:line="240" w:lineRule="auto"/>
        <w:rPr>
          <w:rFonts w:ascii="Arial" w:eastAsia="Times New Roman" w:hAnsi="Arial" w:cs="Arial"/>
          <w:color w:val="000000"/>
          <w:sz w:val="12"/>
          <w:szCs w:val="12"/>
          <w:lang w:val="it-IT" w:eastAsia="en-IE"/>
        </w:rPr>
      </w:pPr>
      <w:r w:rsidRPr="00656794">
        <w:rPr>
          <w:rFonts w:ascii="Arial" w:eastAsia="Times New Roman" w:hAnsi="Arial" w:cs="Arial"/>
          <w:color w:val="000000"/>
          <w:sz w:val="12"/>
          <w:szCs w:val="12"/>
          <w:lang w:val="it-IT" w:eastAsia="en-IE"/>
        </w:rPr>
        <w:t>Fonte: analisi ZLAP</w:t>
      </w:r>
    </w:p>
    <w:p w14:paraId="71D4D15F" w14:textId="77777777" w:rsidR="0084733C" w:rsidRPr="00656794" w:rsidRDefault="0084733C" w:rsidP="0084733C">
      <w:pPr>
        <w:spacing w:after="0" w:line="240" w:lineRule="auto"/>
        <w:rPr>
          <w:rFonts w:ascii="Times New Roman" w:eastAsia="Times New Roman" w:hAnsi="Times New Roman" w:cs="Times New Roman"/>
          <w:sz w:val="24"/>
          <w:szCs w:val="24"/>
          <w:lang w:val="it-IT" w:eastAsia="en-IE"/>
        </w:rPr>
      </w:pPr>
    </w:p>
    <w:tbl>
      <w:tblPr>
        <w:tblW w:w="0" w:type="auto"/>
        <w:tblCellMar>
          <w:top w:w="15" w:type="dxa"/>
          <w:left w:w="15" w:type="dxa"/>
          <w:bottom w:w="15" w:type="dxa"/>
          <w:right w:w="15" w:type="dxa"/>
        </w:tblCellMar>
        <w:tblLook w:val="04A0" w:firstRow="1" w:lastRow="0" w:firstColumn="1" w:lastColumn="0" w:noHBand="0" w:noVBand="1"/>
      </w:tblPr>
      <w:tblGrid>
        <w:gridCol w:w="2277"/>
        <w:gridCol w:w="2055"/>
        <w:gridCol w:w="2130"/>
        <w:gridCol w:w="2544"/>
      </w:tblGrid>
      <w:tr w:rsidR="009D2427" w:rsidRPr="00B84464" w14:paraId="6251738C" w14:textId="77777777" w:rsidTr="00D40481">
        <w:trPr>
          <w:trHeight w:val="390"/>
        </w:trPr>
        <w:tc>
          <w:tcPr>
            <w:tcW w:w="0" w:type="auto"/>
            <w:gridSpan w:val="4"/>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5B4ADEC8" w14:textId="17AB0555" w:rsidR="009D2427" w:rsidRPr="00656794" w:rsidRDefault="00680316" w:rsidP="00D40481">
            <w:pPr>
              <w:spacing w:before="98" w:after="0" w:line="240" w:lineRule="auto"/>
              <w:ind w:right="1004"/>
              <w:rPr>
                <w:rFonts w:ascii="Arial" w:eastAsia="Times New Roman" w:hAnsi="Arial" w:cs="Arial"/>
                <w:b/>
                <w:bCs/>
                <w:color w:val="FFFFFF" w:themeColor="background1"/>
                <w:sz w:val="18"/>
                <w:szCs w:val="18"/>
                <w:lang w:val="it-IT" w:eastAsia="en-IE"/>
              </w:rPr>
            </w:pPr>
            <w:r w:rsidRPr="00656794">
              <w:rPr>
                <w:rFonts w:ascii="Arial" w:eastAsia="Times New Roman" w:hAnsi="Arial" w:cs="Arial"/>
                <w:b/>
                <w:bCs/>
                <w:color w:val="FFFFFF" w:themeColor="background1"/>
                <w:sz w:val="18"/>
                <w:szCs w:val="18"/>
                <w:lang w:val="it-IT" w:eastAsia="en-IE"/>
              </w:rPr>
              <w:t>Ta</w:t>
            </w:r>
            <w:r w:rsidR="00D40481" w:rsidRPr="00656794">
              <w:rPr>
                <w:rFonts w:ascii="Arial" w:eastAsia="Times New Roman" w:hAnsi="Arial" w:cs="Arial"/>
                <w:b/>
                <w:bCs/>
                <w:color w:val="FFFFFF" w:themeColor="background1"/>
                <w:sz w:val="18"/>
                <w:szCs w:val="18"/>
                <w:lang w:val="it-IT" w:eastAsia="en-IE"/>
              </w:rPr>
              <w:t>bella</w:t>
            </w:r>
            <w:r w:rsidRPr="00656794">
              <w:rPr>
                <w:rFonts w:ascii="Arial" w:eastAsia="Times New Roman" w:hAnsi="Arial" w:cs="Arial"/>
                <w:b/>
                <w:bCs/>
                <w:color w:val="FFFFFF" w:themeColor="background1"/>
                <w:sz w:val="18"/>
                <w:szCs w:val="18"/>
                <w:lang w:val="it-IT" w:eastAsia="en-IE"/>
              </w:rPr>
              <w:t xml:space="preserve"> 4.2(b): Riserve tecniche del portafoglio unit linked italiane al 30 giugno 2021 (milioni di euro)</w:t>
            </w:r>
          </w:p>
        </w:tc>
      </w:tr>
      <w:tr w:rsidR="00680316" w:rsidRPr="00B84464" w14:paraId="4B43ABE6" w14:textId="77777777" w:rsidTr="0084733C">
        <w:trPr>
          <w:trHeight w:val="630"/>
        </w:trPr>
        <w:tc>
          <w:tcPr>
            <w:tcW w:w="225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69CABA58" w14:textId="68DFB097" w:rsidR="00680316" w:rsidRPr="00656794" w:rsidRDefault="00680316" w:rsidP="00D40481">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Prodotto</w:t>
            </w:r>
          </w:p>
        </w:tc>
        <w:tc>
          <w:tcPr>
            <w:tcW w:w="202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15B9ECF" w14:textId="0A4762DA" w:rsidR="00680316" w:rsidRPr="00656794" w:rsidRDefault="00680316" w:rsidP="00D40481">
            <w:pPr>
              <w:spacing w:after="0" w:line="240" w:lineRule="auto"/>
              <w:ind w:left="132" w:right="225" w:firstLine="15"/>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Riserve tecniche calcolate nel loro insieme</w:t>
            </w:r>
          </w:p>
        </w:tc>
        <w:tc>
          <w:tcPr>
            <w:tcW w:w="21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E3B4107" w14:textId="3D865A7B" w:rsidR="00680316" w:rsidRPr="00656794" w:rsidRDefault="00710E21" w:rsidP="00D40481">
            <w:pPr>
              <w:spacing w:after="0" w:line="240" w:lineRule="auto"/>
              <w:ind w:left="132"/>
              <w:jc w:val="center"/>
              <w:rPr>
                <w:rFonts w:ascii="Arial" w:eastAsia="Times New Roman" w:hAnsi="Arial" w:cs="Arial"/>
                <w:b/>
                <w:bCs/>
                <w:color w:val="000000"/>
                <w:sz w:val="18"/>
                <w:szCs w:val="18"/>
                <w:lang w:val="it-IT" w:eastAsia="en-IE"/>
              </w:rPr>
            </w:pPr>
            <w:r>
              <w:rPr>
                <w:rFonts w:ascii="Arial" w:eastAsia="Times New Roman" w:hAnsi="Arial" w:cs="Arial"/>
                <w:b/>
                <w:bCs/>
                <w:color w:val="000000"/>
                <w:sz w:val="18"/>
                <w:szCs w:val="18"/>
                <w:lang w:val="it-IT" w:eastAsia="en-IE"/>
              </w:rPr>
              <w:t>Passività lorde della migliore stima</w:t>
            </w:r>
          </w:p>
        </w:tc>
        <w:tc>
          <w:tcPr>
            <w:tcW w:w="2582"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0A370A77" w14:textId="77777777" w:rsidR="00680316" w:rsidRPr="00656794" w:rsidRDefault="00680316" w:rsidP="00D40481">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Riserve tecniche totali (escluso</w:t>
            </w:r>
          </w:p>
          <w:p w14:paraId="0A507275" w14:textId="7C9936D7" w:rsidR="00680316" w:rsidRPr="00656794" w:rsidRDefault="00680316" w:rsidP="00D40481">
            <w:pPr>
              <w:spacing w:after="0" w:line="240" w:lineRule="auto"/>
              <w:ind w:left="132" w:right="167"/>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margine di rischio)</w:t>
            </w:r>
          </w:p>
        </w:tc>
      </w:tr>
      <w:tr w:rsidR="00680316" w:rsidRPr="00656794" w14:paraId="1C0997FD" w14:textId="77777777" w:rsidTr="0084733C">
        <w:trPr>
          <w:trHeight w:val="217"/>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675A3" w14:textId="1475618F" w:rsidR="00680316" w:rsidRPr="00656794" w:rsidRDefault="00680316" w:rsidP="00680316">
            <w:pPr>
              <w:spacing w:after="0" w:line="240" w:lineRule="auto"/>
              <w:ind w:left="128"/>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Libertà di servizi </w:t>
            </w: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BDB50" w14:textId="0759C58B" w:rsidR="00680316" w:rsidRPr="00656794" w:rsidRDefault="00680316" w:rsidP="00680316">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65,6 </w:t>
            </w:r>
          </w:p>
        </w:tc>
        <w:tc>
          <w:tcPr>
            <w:tcW w:w="21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95185" w14:textId="6504AC7D" w:rsidR="00680316" w:rsidRPr="00656794" w:rsidRDefault="00680316" w:rsidP="00680316">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-2,0 </w:t>
            </w:r>
          </w:p>
        </w:tc>
        <w:tc>
          <w:tcPr>
            <w:tcW w:w="2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943C5" w14:textId="2B103618" w:rsidR="00680316" w:rsidRPr="00656794" w:rsidRDefault="00680316" w:rsidP="00680316">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63,6</w:t>
            </w:r>
          </w:p>
        </w:tc>
      </w:tr>
      <w:tr w:rsidR="00680316" w:rsidRPr="00656794" w14:paraId="04D0175A" w14:textId="77777777" w:rsidTr="0084733C">
        <w:trPr>
          <w:trHeight w:val="217"/>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879F6" w14:textId="1EB692B4" w:rsidR="00680316" w:rsidRPr="00656794" w:rsidRDefault="00680316" w:rsidP="00680316">
            <w:pPr>
              <w:spacing w:after="0" w:line="240" w:lineRule="auto"/>
              <w:ind w:left="128"/>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Libertà di Stabilimento </w:t>
            </w: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B9CEC" w14:textId="06545034" w:rsidR="00680316" w:rsidRPr="00656794" w:rsidRDefault="00680316" w:rsidP="00680316">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1.551,1 </w:t>
            </w:r>
          </w:p>
        </w:tc>
        <w:tc>
          <w:tcPr>
            <w:tcW w:w="21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FD94E" w14:textId="40BE6E9B" w:rsidR="00680316" w:rsidRPr="00656794" w:rsidRDefault="00680316" w:rsidP="00680316">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-7,4 </w:t>
            </w:r>
          </w:p>
        </w:tc>
        <w:tc>
          <w:tcPr>
            <w:tcW w:w="2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081CB" w14:textId="3D87BDDE" w:rsidR="00680316" w:rsidRPr="00656794" w:rsidRDefault="00680316" w:rsidP="00680316">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1.543,7</w:t>
            </w:r>
          </w:p>
        </w:tc>
      </w:tr>
      <w:tr w:rsidR="00680316" w:rsidRPr="00656794" w14:paraId="577AEDE8" w14:textId="77777777" w:rsidTr="0084733C">
        <w:trPr>
          <w:trHeight w:val="217"/>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C7990" w14:textId="34221337" w:rsidR="00680316" w:rsidRPr="00656794" w:rsidRDefault="00680316" w:rsidP="00680316">
            <w:pPr>
              <w:spacing w:after="0" w:line="240" w:lineRule="auto"/>
              <w:ind w:left="117"/>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Totale</w:t>
            </w: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0670C" w14:textId="184488B6" w:rsidR="00680316" w:rsidRPr="00656794" w:rsidRDefault="00680316" w:rsidP="00680316">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1.616,6 </w:t>
            </w:r>
          </w:p>
        </w:tc>
        <w:tc>
          <w:tcPr>
            <w:tcW w:w="21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E1A1E" w14:textId="52CE8F3B" w:rsidR="00680316" w:rsidRPr="00656794" w:rsidRDefault="00680316" w:rsidP="00680316">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-9,4 </w:t>
            </w:r>
          </w:p>
        </w:tc>
        <w:tc>
          <w:tcPr>
            <w:tcW w:w="2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CB3D0" w14:textId="3A8B4DCF" w:rsidR="00680316" w:rsidRPr="00656794" w:rsidRDefault="00680316" w:rsidP="00680316">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1.607,3</w:t>
            </w:r>
          </w:p>
        </w:tc>
      </w:tr>
      <w:tr w:rsidR="00680316" w:rsidRPr="00656794" w14:paraId="08706F85" w14:textId="77777777" w:rsidTr="0084733C">
        <w:trPr>
          <w:trHeight w:val="425"/>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671D8" w14:textId="77777777" w:rsidR="00680316" w:rsidRPr="00656794" w:rsidRDefault="00680316" w:rsidP="00680316">
            <w:pPr>
              <w:spacing w:after="0" w:line="240" w:lineRule="auto"/>
              <w:ind w:left="126"/>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 xml:space="preserve">Percentuale di ZLAP </w:t>
            </w:r>
            <w:r w:rsidRPr="00656794">
              <w:rPr>
                <w:rFonts w:ascii="Arial" w:eastAsia="Times New Roman" w:hAnsi="Arial" w:cs="Arial"/>
                <w:b/>
                <w:bCs/>
                <w:color w:val="000000"/>
                <w:sz w:val="18"/>
                <w:szCs w:val="18"/>
                <w:lang w:val="it-IT" w:eastAsia="en-IE"/>
              </w:rPr>
              <w:t> </w:t>
            </w:r>
          </w:p>
          <w:p w14:paraId="4F7FFB3F" w14:textId="7C1A4A66" w:rsidR="00680316" w:rsidRPr="00656794" w:rsidRDefault="00680316" w:rsidP="00680316">
            <w:pPr>
              <w:spacing w:after="0" w:line="240" w:lineRule="auto"/>
              <w:ind w:left="117"/>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Riserve tecniche </w:t>
            </w:r>
          </w:p>
        </w:tc>
        <w:tc>
          <w:tcPr>
            <w:tcW w:w="20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66F15" w14:textId="26B7CD20" w:rsidR="00680316" w:rsidRPr="00656794" w:rsidRDefault="00680316" w:rsidP="00680316">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6,0% </w:t>
            </w:r>
          </w:p>
        </w:tc>
        <w:tc>
          <w:tcPr>
            <w:tcW w:w="21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0789B" w14:textId="61F10137" w:rsidR="00680316" w:rsidRPr="00656794" w:rsidRDefault="00680316" w:rsidP="00680316">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-1,3% </w:t>
            </w:r>
          </w:p>
        </w:tc>
        <w:tc>
          <w:tcPr>
            <w:tcW w:w="2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FB571" w14:textId="13F54F1F" w:rsidR="00680316" w:rsidRPr="00656794" w:rsidRDefault="00680316" w:rsidP="00680316">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5,8%</w:t>
            </w:r>
          </w:p>
        </w:tc>
      </w:tr>
    </w:tbl>
    <w:p w14:paraId="036D1CF8" w14:textId="77777777" w:rsidR="00680316" w:rsidRPr="00656794" w:rsidRDefault="00680316" w:rsidP="009D2427">
      <w:pPr>
        <w:pStyle w:val="NormalWeb"/>
        <w:ind w:right="102"/>
        <w:jc w:val="both"/>
        <w:rPr>
          <w:rFonts w:ascii="Arial" w:hAnsi="Arial" w:cs="Arial"/>
          <w:color w:val="000000"/>
          <w:sz w:val="12"/>
          <w:szCs w:val="12"/>
          <w:lang w:val="it-IT"/>
        </w:rPr>
      </w:pPr>
      <w:r w:rsidRPr="00656794">
        <w:rPr>
          <w:rFonts w:ascii="Arial" w:hAnsi="Arial" w:cs="Arial"/>
          <w:color w:val="000000"/>
          <w:sz w:val="12"/>
          <w:szCs w:val="12"/>
          <w:lang w:val="it-IT"/>
        </w:rPr>
        <w:t>Fonte: analisi ZLAP</w:t>
      </w:r>
    </w:p>
    <w:p w14:paraId="113C9DB4" w14:textId="2DA1E037"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La tabella sopra mostra che, escludendo il Margine di Rischio, il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rappresenta poco meno del 6% delle riserve tecniche complessive di ZLAP e fornisce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idea di quanto sia materiale il </w:t>
      </w:r>
      <w:r w:rsidR="00D20690">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nel contesto del portafoglio complessivo di ZLAP con un costante calo osservato nel periodo.</w:t>
      </w:r>
    </w:p>
    <w:p w14:paraId="0403679F" w14:textId="34BB6282" w:rsidR="00680316" w:rsidRPr="00656794" w:rsidRDefault="009D2427" w:rsidP="00680316">
      <w:pPr>
        <w:spacing w:before="136" w:after="0" w:line="240" w:lineRule="auto"/>
        <w:rPr>
          <w:rFonts w:ascii="Arial" w:eastAsia="Times New Roman" w:hAnsi="Arial" w:cs="Arial"/>
          <w:color w:val="00338D"/>
          <w:sz w:val="24"/>
          <w:szCs w:val="24"/>
          <w:lang w:val="it-IT" w:eastAsia="en-IE"/>
        </w:rPr>
      </w:pPr>
      <w:r w:rsidRPr="00656794">
        <w:rPr>
          <w:rFonts w:ascii="Arial" w:eastAsia="Times New Roman" w:hAnsi="Arial" w:cs="Arial"/>
          <w:color w:val="00338D"/>
          <w:sz w:val="24"/>
          <w:szCs w:val="24"/>
          <w:lang w:val="it-IT" w:eastAsia="en-IE"/>
        </w:rPr>
        <w:t>4.5.3 Requisiti patrimoniali Solvency II e copertura del capitale</w:t>
      </w:r>
    </w:p>
    <w:p w14:paraId="4929A59A" w14:textId="6919AD53"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Sotto Solvency II, le imprese devono detenere un capitale pari al maggiore tra SCR o MCR. Nel caso di ZLAP, è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che si applica.</w:t>
      </w:r>
    </w:p>
    <w:p w14:paraId="5DC2E933" w14:textId="7A76E473"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è determinato sottoponendo il bilancio complessivo a una serie prescritta di shock da 1 a 200 anni e aggregando gli impatti in modo specifico. Ulteriori dettagli sulla determinazione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sono riportati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Appendice 5.</w:t>
      </w:r>
    </w:p>
    <w:p w14:paraId="197924B8" w14:textId="543A41B1"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Sotto Solvency II, le attività disponibili per coprire i requisiti patrimoniali sono denominate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Fondi Propri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con i Fondi Propri che riflettono il valore della posizione patrimoniale netta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impresa. Il </w:t>
      </w:r>
      <w:r w:rsidRPr="00656794">
        <w:rPr>
          <w:rFonts w:ascii="Arial" w:hAnsi="Arial" w:cs="Arial"/>
          <w:color w:val="000000"/>
          <w:sz w:val="20"/>
          <w:szCs w:val="20"/>
          <w:lang w:val="it-IT"/>
        </w:rPr>
        <w:lastRenderedPageBreak/>
        <w:t>confronto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con il livello dei Fondi Propri fornisce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indicazione sul livello di copertura della solvibilità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di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impresa.</w:t>
      </w:r>
    </w:p>
    <w:p w14:paraId="2B414513" w14:textId="46B94989" w:rsidR="00B27DDD"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tabella seguente riporta il coefficiente di copertura della solvibilità complessiva di ZLAP per il 31 dicembre 2020 e</w:t>
      </w:r>
      <w:r w:rsidR="000E2DA8">
        <w:rPr>
          <w:rFonts w:ascii="Arial" w:hAnsi="Arial" w:cs="Arial"/>
          <w:color w:val="000000"/>
          <w:sz w:val="20"/>
          <w:szCs w:val="20"/>
          <w:lang w:val="it-IT"/>
        </w:rPr>
        <w:t>d</w:t>
      </w:r>
      <w:r w:rsidRPr="00656794">
        <w:rPr>
          <w:rFonts w:ascii="Arial" w:hAnsi="Arial" w:cs="Arial"/>
          <w:color w:val="000000"/>
          <w:sz w:val="20"/>
          <w:szCs w:val="20"/>
          <w:lang w:val="it-IT"/>
        </w:rPr>
        <w:t xml:space="preserve"> il 30 giugno 2021.</w:t>
      </w:r>
    </w:p>
    <w:tbl>
      <w:tblPr>
        <w:tblW w:w="9062" w:type="dxa"/>
        <w:tblCellMar>
          <w:top w:w="15" w:type="dxa"/>
          <w:left w:w="15" w:type="dxa"/>
          <w:bottom w:w="15" w:type="dxa"/>
          <w:right w:w="15" w:type="dxa"/>
        </w:tblCellMar>
        <w:tblLook w:val="04A0" w:firstRow="1" w:lastRow="0" w:firstColumn="1" w:lastColumn="0" w:noHBand="0" w:noVBand="1"/>
      </w:tblPr>
      <w:tblGrid>
        <w:gridCol w:w="4385"/>
        <w:gridCol w:w="2551"/>
        <w:gridCol w:w="2126"/>
      </w:tblGrid>
      <w:tr w:rsidR="009D2427" w:rsidRPr="00B84464" w14:paraId="6EAB75F6" w14:textId="77777777" w:rsidTr="0084733C">
        <w:trPr>
          <w:trHeight w:val="306"/>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331CB07D" w14:textId="4144BFB7" w:rsidR="009D2427" w:rsidRPr="00656794" w:rsidRDefault="00856738" w:rsidP="00D40481">
            <w:pPr>
              <w:spacing w:after="0" w:line="240" w:lineRule="auto"/>
              <w:rPr>
                <w:rFonts w:ascii="Times New Roman" w:eastAsia="Times New Roman" w:hAnsi="Times New Roman" w:cs="Times New Roman"/>
                <w:b/>
                <w:bCs/>
                <w:sz w:val="24"/>
                <w:szCs w:val="24"/>
                <w:lang w:val="it-IT" w:eastAsia="en-IE"/>
              </w:rPr>
            </w:pPr>
            <w:r w:rsidRPr="00656794">
              <w:rPr>
                <w:rFonts w:ascii="Arial" w:eastAsia="Times New Roman" w:hAnsi="Arial" w:cs="Arial"/>
                <w:b/>
                <w:bCs/>
                <w:color w:val="FFFFFF" w:themeColor="background1"/>
                <w:sz w:val="18"/>
                <w:szCs w:val="18"/>
                <w:lang w:val="it-IT" w:eastAsia="en-IE"/>
              </w:rPr>
              <w:t>Tabella 4.3: Copertura di solvibilità ZLAP</w:t>
            </w:r>
          </w:p>
        </w:tc>
      </w:tr>
      <w:tr w:rsidR="009D2427" w:rsidRPr="00656794" w14:paraId="595A0C74" w14:textId="77777777" w:rsidTr="0084733C">
        <w:trPr>
          <w:trHeight w:val="158"/>
        </w:trPr>
        <w:tc>
          <w:tcPr>
            <w:tcW w:w="438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2D9544E" w14:textId="77777777" w:rsidR="009D2427" w:rsidRPr="00656794" w:rsidRDefault="009D2427" w:rsidP="00D40481">
            <w:pPr>
              <w:spacing w:after="0" w:line="240" w:lineRule="auto"/>
              <w:ind w:left="132"/>
              <w:jc w:val="center"/>
              <w:rPr>
                <w:rFonts w:ascii="Arial" w:eastAsia="Times New Roman" w:hAnsi="Arial" w:cs="Arial"/>
                <w:b/>
                <w:bCs/>
                <w:color w:val="000000"/>
                <w:sz w:val="18"/>
                <w:szCs w:val="18"/>
                <w:lang w:val="it-IT" w:eastAsia="en-IE"/>
              </w:rPr>
            </w:pPr>
          </w:p>
        </w:tc>
        <w:tc>
          <w:tcPr>
            <w:tcW w:w="255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6840A95" w14:textId="23DE0197" w:rsidR="009D2427" w:rsidRPr="00656794" w:rsidRDefault="009D2427" w:rsidP="00D40481">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 xml:space="preserve">31 </w:t>
            </w:r>
            <w:r w:rsidR="00856738" w:rsidRPr="00656794">
              <w:rPr>
                <w:rFonts w:ascii="Arial" w:eastAsia="Times New Roman" w:hAnsi="Arial" w:cs="Arial"/>
                <w:b/>
                <w:bCs/>
                <w:color w:val="000000"/>
                <w:sz w:val="18"/>
                <w:szCs w:val="18"/>
                <w:lang w:val="it-IT" w:eastAsia="en-IE"/>
              </w:rPr>
              <w:t>dicembre</w:t>
            </w:r>
            <w:r w:rsidRPr="00656794">
              <w:rPr>
                <w:rFonts w:ascii="Arial" w:eastAsia="Times New Roman" w:hAnsi="Arial" w:cs="Arial"/>
                <w:b/>
                <w:bCs/>
                <w:color w:val="000000"/>
                <w:sz w:val="18"/>
                <w:szCs w:val="18"/>
                <w:lang w:val="it-IT" w:eastAsia="en-IE"/>
              </w:rPr>
              <w:t xml:space="preserve"> 2020 </w:t>
            </w:r>
          </w:p>
        </w:tc>
        <w:tc>
          <w:tcPr>
            <w:tcW w:w="212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3296AC3A" w14:textId="4B726B66" w:rsidR="009D2427" w:rsidRPr="00656794" w:rsidRDefault="009D2427" w:rsidP="00D40481">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 xml:space="preserve">30 </w:t>
            </w:r>
            <w:r w:rsidR="00856738" w:rsidRPr="00656794">
              <w:rPr>
                <w:rFonts w:ascii="Arial" w:eastAsia="Times New Roman" w:hAnsi="Arial" w:cs="Arial"/>
                <w:b/>
                <w:bCs/>
                <w:color w:val="000000"/>
                <w:sz w:val="18"/>
                <w:szCs w:val="18"/>
                <w:lang w:val="it-IT" w:eastAsia="en-IE"/>
              </w:rPr>
              <w:t>giugno</w:t>
            </w:r>
            <w:r w:rsidRPr="00656794">
              <w:rPr>
                <w:rFonts w:ascii="Arial" w:eastAsia="Times New Roman" w:hAnsi="Arial" w:cs="Arial"/>
                <w:b/>
                <w:bCs/>
                <w:color w:val="000000"/>
                <w:sz w:val="18"/>
                <w:szCs w:val="18"/>
                <w:lang w:val="it-IT" w:eastAsia="en-IE"/>
              </w:rPr>
              <w:t xml:space="preserve"> 2021</w:t>
            </w:r>
          </w:p>
        </w:tc>
      </w:tr>
      <w:tr w:rsidR="009D2427" w:rsidRPr="00656794" w14:paraId="5FBCD318" w14:textId="77777777" w:rsidTr="00D40481">
        <w:trPr>
          <w:trHeight w:val="354"/>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CA0BE" w14:textId="11B3879A" w:rsidR="009D2427" w:rsidRPr="00656794" w:rsidRDefault="00856738" w:rsidP="009D2427">
            <w:pPr>
              <w:spacing w:after="0" w:line="240" w:lineRule="auto"/>
              <w:ind w:left="121"/>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Fondi propri</w:t>
            </w:r>
            <w:r w:rsidR="009D2427" w:rsidRPr="00656794">
              <w:rPr>
                <w:rFonts w:ascii="Arial" w:eastAsia="Times New Roman" w:hAnsi="Arial" w:cs="Arial"/>
                <w:color w:val="000000"/>
                <w:sz w:val="18"/>
                <w:szCs w:val="18"/>
                <w:shd w:val="clear" w:color="auto" w:fill="FFFFFF"/>
                <w:lang w:val="it-IT" w:eastAsia="en-IE"/>
              </w:rPr>
              <w:t>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F9ABA" w14:textId="1ACA7447"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851</w:t>
            </w:r>
            <w:r w:rsidR="006E60C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F953A" w14:textId="4D8ECAB4"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866</w:t>
            </w:r>
            <w:r w:rsidR="006E60C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0</w:t>
            </w:r>
          </w:p>
        </w:tc>
      </w:tr>
      <w:tr w:rsidR="009D2427" w:rsidRPr="00656794" w14:paraId="0D580550" w14:textId="77777777" w:rsidTr="00D40481">
        <w:trPr>
          <w:trHeight w:val="354"/>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B37D4" w14:textId="77777777" w:rsidR="009D2427" w:rsidRPr="00656794" w:rsidRDefault="009D2427" w:rsidP="009D2427">
            <w:pPr>
              <w:spacing w:after="0" w:line="240" w:lineRule="auto"/>
              <w:ind w:left="121"/>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SCR </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9A05F" w14:textId="78483E63"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649</w:t>
            </w:r>
            <w:r w:rsidR="006E60C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6 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A4CFA" w14:textId="741CD15C"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716</w:t>
            </w:r>
            <w:r w:rsidR="006E60C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4</w:t>
            </w:r>
          </w:p>
        </w:tc>
      </w:tr>
      <w:tr w:rsidR="009D2427" w:rsidRPr="00656794" w14:paraId="2BA94C12" w14:textId="77777777" w:rsidTr="00D40481">
        <w:trPr>
          <w:trHeight w:val="354"/>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09686" w14:textId="4522C66C" w:rsidR="009D2427" w:rsidRPr="00656794" w:rsidRDefault="00856738" w:rsidP="00856738">
            <w:pPr>
              <w:spacing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Eccesso di Fondi Propri rispetto a SCR</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B3898" w14:textId="1E10F3C4"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201</w:t>
            </w:r>
            <w:r w:rsidR="006E60C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5 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6F59D" w14:textId="288B6370"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149</w:t>
            </w:r>
            <w:r w:rsidR="006E60C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6</w:t>
            </w:r>
          </w:p>
        </w:tc>
      </w:tr>
      <w:tr w:rsidR="009D2427" w:rsidRPr="00656794" w14:paraId="4D9A82A1" w14:textId="77777777" w:rsidTr="00D40481">
        <w:trPr>
          <w:trHeight w:val="354"/>
        </w:trPr>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825B0" w14:textId="04675C54" w:rsidR="009D2427" w:rsidRPr="00656794" w:rsidRDefault="006E60CD" w:rsidP="009D2427">
            <w:pPr>
              <w:spacing w:after="0" w:line="240" w:lineRule="auto"/>
              <w:ind w:left="119"/>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Rapporto di copertura della solvibilità</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A7E92" w14:textId="77777777"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lang w:val="it-IT" w:eastAsia="en-IE"/>
              </w:rPr>
              <w:t>131%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67244" w14:textId="77777777"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lang w:val="it-IT" w:eastAsia="en-IE"/>
              </w:rPr>
              <w:t>121%</w:t>
            </w:r>
          </w:p>
        </w:tc>
      </w:tr>
    </w:tbl>
    <w:p w14:paraId="72925053" w14:textId="3CB11E46" w:rsidR="009D2427" w:rsidRPr="00CB4C9C" w:rsidRDefault="006E60CD" w:rsidP="0084733C">
      <w:pPr>
        <w:spacing w:after="0" w:line="240" w:lineRule="auto"/>
        <w:rPr>
          <w:rFonts w:ascii="Times New Roman" w:eastAsia="Times New Roman" w:hAnsi="Times New Roman" w:cs="Times New Roman"/>
          <w:sz w:val="24"/>
          <w:szCs w:val="24"/>
          <w:lang w:eastAsia="en-IE"/>
        </w:rPr>
      </w:pPr>
      <w:r w:rsidRPr="00CB4C9C">
        <w:rPr>
          <w:rFonts w:ascii="Arial" w:eastAsia="Times New Roman" w:hAnsi="Arial" w:cs="Arial"/>
          <w:color w:val="000000"/>
          <w:sz w:val="12"/>
          <w:szCs w:val="12"/>
          <w:lang w:eastAsia="en-IE"/>
        </w:rPr>
        <w:t>Fonte: ZLAP 2020 Solvency and Financial Condition Report</w:t>
      </w:r>
      <w:r w:rsidR="009D2427" w:rsidRPr="00CB4C9C">
        <w:rPr>
          <w:rFonts w:ascii="Arial" w:eastAsia="Times New Roman" w:hAnsi="Arial" w:cs="Arial"/>
          <w:color w:val="000000"/>
          <w:sz w:val="12"/>
          <w:szCs w:val="12"/>
          <w:lang w:eastAsia="en-IE"/>
        </w:rPr>
        <w:t> </w:t>
      </w:r>
    </w:p>
    <w:p w14:paraId="165B3999" w14:textId="12A890AF"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Nel corso del 2020, i fondi propri di ZLAP sono aumentati complessivamente nel corso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anno, ma alla base di ciò c</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era una serie di fattori che hanno contribuito sia ad aumentare che a diminuire il saldo dei fondi propri, tra cui:</w:t>
      </w:r>
    </w:p>
    <w:p w14:paraId="44BD6711" w14:textId="77777777"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Ricevuta un aumento di capitale di Gruppo di 40 milioni di euro nel maggio 2020; e</w:t>
      </w:r>
    </w:p>
    <w:p w14:paraId="3127D1C4" w14:textId="5DB72DF1"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La volatilità del mercato degli investimenti che ha un impatto sul valore degli attivi, inclusi il calo dei tassi di interesse,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ampliamento degli spread sulle esposizioni ai titoli di stato e la volatilità sui mercati azionari, sebbene in qualche modo compensata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aggiustamento simmetrico.</w:t>
      </w:r>
    </w:p>
    <w:p w14:paraId="5FA716D5" w14:textId="3EFC9A4D"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Anche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è aumentato in modo aggregato nel corso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anno, anche in questo caso ci sono una serie di fattori alla base di ciò, che contribuiscono con impatti sia positivi che negativi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w:t>
      </w:r>
    </w:p>
    <w:p w14:paraId="2823BFEC" w14:textId="36237AF8"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La forte performance del mercato azionario nella seconda metà del 2020, ha aumentato i profitti futuri attesi </w:t>
      </w:r>
      <w:r w:rsidR="000E2DA8">
        <w:rPr>
          <w:rFonts w:ascii="Arial" w:hAnsi="Arial" w:cs="Arial"/>
          <w:color w:val="000000"/>
          <w:sz w:val="20"/>
          <w:szCs w:val="20"/>
          <w:lang w:val="it-IT"/>
        </w:rPr>
        <w:t>sulle attività</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di ZLAP.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aumento di questi utili futuri attesi ha determinato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aumento del capitale richiesto a fronte dei rischi di mercato;</w:t>
      </w:r>
    </w:p>
    <w:p w14:paraId="7E8692B4" w14:textId="6B96FEB3"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Ulteriori fattori includono nuove attività, in particolare un programma di rischio aggiuntivo per grandi gruppi che aumenta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al rischio di catastrofi sanitarie; e</w:t>
      </w:r>
    </w:p>
    <w:p w14:paraId="0BB6F8A8" w14:textId="5BAB3F31"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introduzione di un nuovo accordo di riassicurazione sulla longevità che riduce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esposizione della società al rischio di longevità ha compensato alcuni degli aumenti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w:t>
      </w:r>
    </w:p>
    <w:p w14:paraId="43040016" w14:textId="4913AF94"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tabella seguente illustra le componenti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di ZLAP al 31 dicembre 2020 e</w:t>
      </w:r>
      <w:r w:rsidR="000E2DA8">
        <w:rPr>
          <w:rFonts w:ascii="Arial" w:hAnsi="Arial" w:cs="Arial"/>
          <w:color w:val="000000"/>
          <w:sz w:val="20"/>
          <w:szCs w:val="20"/>
          <w:lang w:val="it-IT"/>
        </w:rPr>
        <w:t>d</w:t>
      </w:r>
      <w:r w:rsidRPr="00656794">
        <w:rPr>
          <w:rFonts w:ascii="Arial" w:hAnsi="Arial" w:cs="Arial"/>
          <w:color w:val="000000"/>
          <w:sz w:val="20"/>
          <w:szCs w:val="20"/>
          <w:lang w:val="it-IT"/>
        </w:rPr>
        <w:t xml:space="preserve"> al 30 giugno 2021. I principali driver dei requisiti patrimoniali di ZLAP sono i rischi di sottoscrizione vita (derivanti dai rischi assicurativi assunti) e i rischi di mercato.</w:t>
      </w:r>
    </w:p>
    <w:p w14:paraId="17B5DE09" w14:textId="08AE5B16" w:rsidR="009D2427" w:rsidRPr="00656794" w:rsidRDefault="009D2427" w:rsidP="009D2427">
      <w:pPr>
        <w:spacing w:before="98" w:after="0" w:line="240" w:lineRule="auto"/>
        <w:ind w:right="818"/>
        <w:jc w:val="right"/>
        <w:rPr>
          <w:rFonts w:ascii="Times New Roman" w:eastAsia="Times New Roman" w:hAnsi="Times New Roman" w:cs="Times New Roman"/>
          <w:sz w:val="24"/>
          <w:szCs w:val="24"/>
          <w:lang w:val="it-IT" w:eastAsia="en-IE"/>
        </w:rPr>
      </w:pPr>
    </w:p>
    <w:tbl>
      <w:tblPr>
        <w:tblW w:w="9062" w:type="dxa"/>
        <w:tblCellMar>
          <w:top w:w="15" w:type="dxa"/>
          <w:left w:w="15" w:type="dxa"/>
          <w:bottom w:w="15" w:type="dxa"/>
          <w:right w:w="15" w:type="dxa"/>
        </w:tblCellMar>
        <w:tblLook w:val="04A0" w:firstRow="1" w:lastRow="0" w:firstColumn="1" w:lastColumn="0" w:noHBand="0" w:noVBand="1"/>
      </w:tblPr>
      <w:tblGrid>
        <w:gridCol w:w="5235"/>
        <w:gridCol w:w="1559"/>
        <w:gridCol w:w="2268"/>
      </w:tblGrid>
      <w:tr w:rsidR="004C2BF1" w:rsidRPr="00B84464" w14:paraId="5296A9E9" w14:textId="77777777" w:rsidTr="00D40481">
        <w:trPr>
          <w:trHeight w:val="164"/>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539D3F6A" w14:textId="20D8D914" w:rsidR="004C2BF1" w:rsidRPr="00656794" w:rsidRDefault="006B52EF" w:rsidP="00D40481">
            <w:pPr>
              <w:spacing w:after="0" w:line="240" w:lineRule="auto"/>
              <w:rPr>
                <w:rFonts w:ascii="Arial" w:eastAsia="Times New Roman" w:hAnsi="Arial" w:cs="Arial"/>
                <w:b/>
                <w:bCs/>
                <w:color w:val="FFFFFF" w:themeColor="background1"/>
                <w:sz w:val="18"/>
                <w:szCs w:val="18"/>
                <w:lang w:val="it-IT" w:eastAsia="en-IE"/>
              </w:rPr>
            </w:pPr>
            <w:r w:rsidRPr="00656794">
              <w:rPr>
                <w:rFonts w:ascii="Arial" w:eastAsia="Times New Roman" w:hAnsi="Arial" w:cs="Arial"/>
                <w:b/>
                <w:bCs/>
                <w:color w:val="FFFFFF" w:themeColor="background1"/>
                <w:sz w:val="18"/>
                <w:szCs w:val="18"/>
                <w:lang w:val="it-IT" w:eastAsia="en-IE"/>
              </w:rPr>
              <w:t>Tabella 4.4: Componenti ZLAP SCR - €m</w:t>
            </w:r>
          </w:p>
        </w:tc>
      </w:tr>
      <w:tr w:rsidR="004C2BF1" w:rsidRPr="00656794" w14:paraId="53718311" w14:textId="77777777" w:rsidTr="00D40481">
        <w:trPr>
          <w:trHeight w:val="145"/>
        </w:trPr>
        <w:tc>
          <w:tcPr>
            <w:tcW w:w="523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334B1DF6" w14:textId="0E52EF1A" w:rsidR="004C2BF1" w:rsidRPr="00656794" w:rsidRDefault="006B52EF" w:rsidP="00D40481">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Componenti</w:t>
            </w:r>
          </w:p>
        </w:tc>
        <w:tc>
          <w:tcPr>
            <w:tcW w:w="15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63C926A8" w14:textId="35EB81B6" w:rsidR="004C2BF1" w:rsidRPr="00656794" w:rsidRDefault="006B52EF" w:rsidP="00D40481">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31 dic 2020</w:t>
            </w:r>
          </w:p>
        </w:tc>
        <w:tc>
          <w:tcPr>
            <w:tcW w:w="22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36DCE608" w14:textId="372D575A" w:rsidR="004C2BF1" w:rsidRPr="00656794" w:rsidRDefault="006B52EF" w:rsidP="00D40481">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31 giugno 2021</w:t>
            </w:r>
          </w:p>
        </w:tc>
      </w:tr>
      <w:tr w:rsidR="004C2BF1" w:rsidRPr="00656794" w14:paraId="6EA64BDF" w14:textId="77777777" w:rsidTr="002A32A4">
        <w:trPr>
          <w:trHeight w:val="1063"/>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52DE8" w14:textId="77777777" w:rsidR="0084733C" w:rsidRPr="00656794" w:rsidRDefault="006D6E7D" w:rsidP="0084733C">
            <w:pPr>
              <w:spacing w:after="0" w:line="240" w:lineRule="auto"/>
              <w:ind w:left="131"/>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lastRenderedPageBreak/>
              <w:t>Rischio di mercato</w:t>
            </w:r>
          </w:p>
          <w:p w14:paraId="6E2A89D3" w14:textId="0C68F329" w:rsidR="006D6E7D" w:rsidRPr="00656794" w:rsidRDefault="006D6E7D" w:rsidP="0084733C">
            <w:pPr>
              <w:spacing w:after="0" w:line="240" w:lineRule="auto"/>
              <w:ind w:left="131"/>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Rischio di insolvenza della controparte</w:t>
            </w:r>
          </w:p>
          <w:p w14:paraId="70F657F0" w14:textId="77777777" w:rsidR="006D6E7D" w:rsidRPr="00656794" w:rsidRDefault="006D6E7D" w:rsidP="006D6E7D">
            <w:pPr>
              <w:spacing w:after="0" w:line="240" w:lineRule="auto"/>
              <w:ind w:left="131"/>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Rischio di sottoscrizione vita</w:t>
            </w:r>
          </w:p>
          <w:p w14:paraId="35988ECB" w14:textId="77777777" w:rsidR="006D6E7D" w:rsidRPr="00656794" w:rsidRDefault="006D6E7D" w:rsidP="006D6E7D">
            <w:pPr>
              <w:spacing w:after="0" w:line="240" w:lineRule="auto"/>
              <w:ind w:left="131"/>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Rischio di sottoscrizione sanitaria</w:t>
            </w:r>
          </w:p>
          <w:p w14:paraId="1A5F58E9" w14:textId="38AADE49" w:rsidR="004C2BF1" w:rsidRPr="00656794" w:rsidRDefault="006D6E7D" w:rsidP="006D6E7D">
            <w:pPr>
              <w:spacing w:after="0" w:line="240" w:lineRule="auto"/>
              <w:ind w:left="131"/>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Diversificazione</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54513" w14:textId="519085A0" w:rsidR="004C2BF1" w:rsidRPr="00656794" w:rsidRDefault="004C2BF1" w:rsidP="002A32A4">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295</w:t>
            </w:r>
            <w:r w:rsidR="006D6E7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1 </w:t>
            </w:r>
            <w:r w:rsidR="002A32A4" w:rsidRPr="00656794">
              <w:rPr>
                <w:rFonts w:ascii="Arial" w:eastAsia="Times New Roman" w:hAnsi="Arial" w:cs="Arial"/>
                <w:color w:val="000000"/>
                <w:sz w:val="18"/>
                <w:szCs w:val="18"/>
                <w:shd w:val="clear" w:color="auto" w:fill="FFFFFF"/>
                <w:lang w:val="it-IT" w:eastAsia="en-IE"/>
              </w:rPr>
              <w:br/>
            </w:r>
            <w:r w:rsidRPr="00656794">
              <w:rPr>
                <w:rFonts w:ascii="Arial" w:eastAsia="Times New Roman" w:hAnsi="Arial" w:cs="Arial"/>
                <w:color w:val="000000"/>
                <w:sz w:val="18"/>
                <w:szCs w:val="18"/>
                <w:shd w:val="clear" w:color="auto" w:fill="FFFFFF"/>
                <w:lang w:val="it-IT" w:eastAsia="en-IE"/>
              </w:rPr>
              <w:t>23</w:t>
            </w:r>
            <w:r w:rsidR="006D6E7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3 </w:t>
            </w:r>
            <w:r w:rsidR="002A32A4" w:rsidRPr="00656794">
              <w:rPr>
                <w:rFonts w:ascii="Arial" w:eastAsia="Times New Roman" w:hAnsi="Arial" w:cs="Arial"/>
                <w:color w:val="000000"/>
                <w:sz w:val="18"/>
                <w:szCs w:val="18"/>
                <w:shd w:val="clear" w:color="auto" w:fill="FFFFFF"/>
                <w:lang w:val="it-IT" w:eastAsia="en-IE"/>
              </w:rPr>
              <w:br/>
            </w:r>
            <w:r w:rsidRPr="00656794">
              <w:rPr>
                <w:rFonts w:ascii="Arial" w:eastAsia="Times New Roman" w:hAnsi="Arial" w:cs="Arial"/>
                <w:color w:val="000000"/>
                <w:sz w:val="18"/>
                <w:szCs w:val="18"/>
                <w:shd w:val="clear" w:color="auto" w:fill="FFFFFF"/>
                <w:lang w:val="it-IT" w:eastAsia="en-IE"/>
              </w:rPr>
              <w:t>434</w:t>
            </w:r>
            <w:r w:rsidR="006D6E7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4 </w:t>
            </w:r>
            <w:r w:rsidR="002A32A4" w:rsidRPr="00656794">
              <w:rPr>
                <w:rFonts w:ascii="Arial" w:eastAsia="Times New Roman" w:hAnsi="Arial" w:cs="Arial"/>
                <w:color w:val="000000"/>
                <w:sz w:val="18"/>
                <w:szCs w:val="18"/>
                <w:shd w:val="clear" w:color="auto" w:fill="FFFFFF"/>
                <w:lang w:val="it-IT" w:eastAsia="en-IE"/>
              </w:rPr>
              <w:br/>
            </w:r>
            <w:r w:rsidRPr="00656794">
              <w:rPr>
                <w:rFonts w:ascii="Arial" w:eastAsia="Times New Roman" w:hAnsi="Arial" w:cs="Arial"/>
                <w:color w:val="000000"/>
                <w:sz w:val="18"/>
                <w:szCs w:val="18"/>
                <w:shd w:val="clear" w:color="auto" w:fill="FFFFFF"/>
                <w:lang w:val="it-IT" w:eastAsia="en-IE"/>
              </w:rPr>
              <w:t>43</w:t>
            </w:r>
            <w:r w:rsidR="006D6E7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6 </w:t>
            </w:r>
          </w:p>
          <w:p w14:paraId="56E29A77" w14:textId="4EC2188C" w:rsidR="004C2BF1" w:rsidRPr="00656794" w:rsidRDefault="004C2BF1" w:rsidP="004C2BF1">
            <w:pPr>
              <w:spacing w:after="0" w:line="240" w:lineRule="auto"/>
              <w:jc w:val="center"/>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(190</w:t>
            </w:r>
            <w:r w:rsidR="006D6E7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4)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DA126" w14:textId="79840C7A" w:rsidR="004C2BF1" w:rsidRPr="00656794" w:rsidRDefault="004C2BF1" w:rsidP="002A32A4">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351</w:t>
            </w:r>
            <w:r w:rsidR="006D6E7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w:t>
            </w:r>
            <w:r w:rsidRPr="00656794">
              <w:rPr>
                <w:rFonts w:ascii="Arial" w:eastAsia="Times New Roman" w:hAnsi="Arial" w:cs="Arial"/>
                <w:color w:val="000000"/>
                <w:sz w:val="18"/>
                <w:szCs w:val="18"/>
                <w:lang w:val="it-IT" w:eastAsia="en-IE"/>
              </w:rPr>
              <w:t> </w:t>
            </w:r>
            <w:r w:rsidR="002A32A4" w:rsidRPr="00656794">
              <w:rPr>
                <w:rFonts w:ascii="Arial" w:eastAsia="Times New Roman" w:hAnsi="Arial" w:cs="Arial"/>
                <w:color w:val="000000"/>
                <w:sz w:val="18"/>
                <w:szCs w:val="18"/>
                <w:lang w:val="it-IT" w:eastAsia="en-IE"/>
              </w:rPr>
              <w:br/>
            </w:r>
            <w:r w:rsidRPr="00656794">
              <w:rPr>
                <w:rFonts w:ascii="Arial" w:eastAsia="Times New Roman" w:hAnsi="Arial" w:cs="Arial"/>
                <w:color w:val="000000"/>
                <w:sz w:val="18"/>
                <w:szCs w:val="18"/>
                <w:shd w:val="clear" w:color="auto" w:fill="FFFFFF"/>
                <w:lang w:val="it-IT" w:eastAsia="en-IE"/>
              </w:rPr>
              <w:t>22</w:t>
            </w:r>
            <w:r w:rsidR="006D6E7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w:t>
            </w:r>
            <w:r w:rsidRPr="00656794">
              <w:rPr>
                <w:rFonts w:ascii="Arial" w:eastAsia="Times New Roman" w:hAnsi="Arial" w:cs="Arial"/>
                <w:color w:val="000000"/>
                <w:sz w:val="18"/>
                <w:szCs w:val="18"/>
                <w:lang w:val="it-IT" w:eastAsia="en-IE"/>
              </w:rPr>
              <w:t> </w:t>
            </w:r>
            <w:r w:rsidR="002A32A4" w:rsidRPr="00656794">
              <w:rPr>
                <w:rFonts w:ascii="Arial" w:eastAsia="Times New Roman" w:hAnsi="Arial" w:cs="Arial"/>
                <w:color w:val="000000"/>
                <w:sz w:val="18"/>
                <w:szCs w:val="18"/>
                <w:lang w:val="it-IT" w:eastAsia="en-IE"/>
              </w:rPr>
              <w:br/>
            </w:r>
            <w:r w:rsidRPr="00656794">
              <w:rPr>
                <w:rFonts w:ascii="Arial" w:eastAsia="Times New Roman" w:hAnsi="Arial" w:cs="Arial"/>
                <w:color w:val="000000"/>
                <w:sz w:val="18"/>
                <w:szCs w:val="18"/>
                <w:shd w:val="clear" w:color="auto" w:fill="FFFFFF"/>
                <w:lang w:val="it-IT" w:eastAsia="en-IE"/>
              </w:rPr>
              <w:t>470</w:t>
            </w:r>
            <w:r w:rsidR="006D6E7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5</w:t>
            </w:r>
            <w:r w:rsidRPr="00656794">
              <w:rPr>
                <w:rFonts w:ascii="Arial" w:eastAsia="Times New Roman" w:hAnsi="Arial" w:cs="Arial"/>
                <w:color w:val="000000"/>
                <w:sz w:val="18"/>
                <w:szCs w:val="18"/>
                <w:lang w:val="it-IT" w:eastAsia="en-IE"/>
              </w:rPr>
              <w:t> </w:t>
            </w:r>
            <w:r w:rsidR="002A32A4" w:rsidRPr="00656794">
              <w:rPr>
                <w:rFonts w:ascii="Arial" w:eastAsia="Times New Roman" w:hAnsi="Arial" w:cs="Arial"/>
                <w:color w:val="000000"/>
                <w:sz w:val="18"/>
                <w:szCs w:val="18"/>
                <w:lang w:val="it-IT" w:eastAsia="en-IE"/>
              </w:rPr>
              <w:br/>
            </w:r>
            <w:r w:rsidRPr="00656794">
              <w:rPr>
                <w:rFonts w:ascii="Arial" w:eastAsia="Times New Roman" w:hAnsi="Arial" w:cs="Arial"/>
                <w:color w:val="000000"/>
                <w:sz w:val="18"/>
                <w:szCs w:val="18"/>
                <w:shd w:val="clear" w:color="auto" w:fill="FFFFFF"/>
                <w:lang w:val="it-IT" w:eastAsia="en-IE"/>
              </w:rPr>
              <w:t>43</w:t>
            </w:r>
            <w:r w:rsidR="006D6E7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1</w:t>
            </w:r>
            <w:r w:rsidRPr="00656794">
              <w:rPr>
                <w:rFonts w:ascii="Arial" w:eastAsia="Times New Roman" w:hAnsi="Arial" w:cs="Arial"/>
                <w:color w:val="000000"/>
                <w:sz w:val="18"/>
                <w:szCs w:val="18"/>
                <w:lang w:val="it-IT" w:eastAsia="en-IE"/>
              </w:rPr>
              <w:t> </w:t>
            </w:r>
          </w:p>
          <w:p w14:paraId="4E4CAD6F" w14:textId="0B126001" w:rsidR="004C2BF1" w:rsidRPr="00656794" w:rsidRDefault="004C2BF1" w:rsidP="004C2BF1">
            <w:pPr>
              <w:spacing w:after="0" w:line="240" w:lineRule="auto"/>
              <w:jc w:val="center"/>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-210</w:t>
            </w:r>
            <w:r w:rsidR="006D6E7D" w:rsidRPr="00656794">
              <w:rPr>
                <w:rFonts w:ascii="Arial" w:eastAsia="Times New Roman" w:hAnsi="Arial" w:cs="Arial"/>
                <w:color w:val="000000"/>
                <w:sz w:val="18"/>
                <w:szCs w:val="18"/>
                <w:shd w:val="clear" w:color="auto" w:fill="FFFFFF"/>
                <w:lang w:val="it-IT" w:eastAsia="en-IE"/>
              </w:rPr>
              <w:t>,</w:t>
            </w:r>
            <w:r w:rsidRPr="00656794">
              <w:rPr>
                <w:rFonts w:ascii="Arial" w:eastAsia="Times New Roman" w:hAnsi="Arial" w:cs="Arial"/>
                <w:color w:val="000000"/>
                <w:sz w:val="18"/>
                <w:szCs w:val="18"/>
                <w:shd w:val="clear" w:color="auto" w:fill="FFFFFF"/>
                <w:lang w:val="it-IT" w:eastAsia="en-IE"/>
              </w:rPr>
              <w:t>9</w:t>
            </w:r>
          </w:p>
        </w:tc>
      </w:tr>
      <w:tr w:rsidR="004C2BF1" w:rsidRPr="00656794" w14:paraId="3DA59421" w14:textId="77777777" w:rsidTr="00D40481">
        <w:trPr>
          <w:trHeight w:val="310"/>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138C4" w14:textId="7651CAC6" w:rsidR="004C2BF1" w:rsidRPr="00656794" w:rsidRDefault="004C2BF1" w:rsidP="004C2BF1">
            <w:pPr>
              <w:spacing w:after="0" w:line="240" w:lineRule="auto"/>
              <w:ind w:left="131"/>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SCR </w:t>
            </w:r>
            <w:r w:rsidR="006D6E7D" w:rsidRPr="00656794">
              <w:rPr>
                <w:rFonts w:ascii="Arial" w:eastAsia="Times New Roman" w:hAnsi="Arial" w:cs="Arial"/>
                <w:b/>
                <w:bCs/>
                <w:color w:val="000000"/>
                <w:sz w:val="18"/>
                <w:szCs w:val="18"/>
                <w:shd w:val="clear" w:color="auto" w:fill="FFFFFF"/>
                <w:lang w:val="it-IT" w:eastAsia="en-IE"/>
              </w:rPr>
              <w:t>di base</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BB156" w14:textId="16F88FA6" w:rsidR="004C2BF1" w:rsidRPr="00656794" w:rsidRDefault="004C2BF1" w:rsidP="006D6E7D">
            <w:pPr>
              <w:spacing w:after="0" w:line="240" w:lineRule="auto"/>
              <w:jc w:val="center"/>
              <w:rPr>
                <w:rFonts w:ascii="Arial" w:eastAsia="Times New Roman" w:hAnsi="Arial" w:cs="Arial"/>
                <w:b/>
                <w:bCs/>
                <w:color w:val="000000"/>
                <w:sz w:val="18"/>
                <w:szCs w:val="18"/>
                <w:shd w:val="clear" w:color="auto" w:fill="FFFFFF"/>
                <w:lang w:val="it-IT" w:eastAsia="en-IE"/>
              </w:rPr>
            </w:pPr>
            <w:r w:rsidRPr="00656794">
              <w:rPr>
                <w:rFonts w:ascii="Arial" w:eastAsia="Times New Roman" w:hAnsi="Arial" w:cs="Arial"/>
                <w:b/>
                <w:bCs/>
                <w:color w:val="000000"/>
                <w:sz w:val="18"/>
                <w:szCs w:val="18"/>
                <w:shd w:val="clear" w:color="auto" w:fill="FFFFFF"/>
                <w:lang w:val="it-IT" w:eastAsia="en-IE"/>
              </w:rPr>
              <w:t>606</w:t>
            </w:r>
            <w:r w:rsidR="006D6E7D"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0 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F0D13" w14:textId="37F9AEAF" w:rsidR="004C2BF1" w:rsidRPr="00656794" w:rsidRDefault="004C2BF1" w:rsidP="004C2BF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675</w:t>
            </w:r>
            <w:r w:rsidR="006D6E7D" w:rsidRPr="00656794">
              <w:rPr>
                <w:rFonts w:ascii="Arial" w:eastAsia="Times New Roman" w:hAnsi="Arial" w:cs="Arial"/>
                <w:b/>
                <w:bCs/>
                <w:color w:val="000000"/>
                <w:sz w:val="18"/>
                <w:szCs w:val="18"/>
                <w:shd w:val="clear" w:color="auto" w:fill="FFFFFF"/>
                <w:lang w:val="it-IT" w:eastAsia="en-IE"/>
              </w:rPr>
              <w:t>,</w:t>
            </w:r>
            <w:r w:rsidRPr="00656794">
              <w:rPr>
                <w:rFonts w:ascii="Arial" w:eastAsia="Times New Roman" w:hAnsi="Arial" w:cs="Arial"/>
                <w:b/>
                <w:bCs/>
                <w:color w:val="000000"/>
                <w:sz w:val="18"/>
                <w:szCs w:val="18"/>
                <w:shd w:val="clear" w:color="auto" w:fill="FFFFFF"/>
                <w:lang w:val="it-IT" w:eastAsia="en-IE"/>
              </w:rPr>
              <w:t>9</w:t>
            </w:r>
          </w:p>
        </w:tc>
      </w:tr>
      <w:tr w:rsidR="004C2BF1" w:rsidRPr="00656794" w14:paraId="4665D507" w14:textId="77777777" w:rsidTr="002B0FFD">
        <w:trPr>
          <w:trHeight w:val="589"/>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F5955" w14:textId="77777777" w:rsidR="006D6E7D" w:rsidRPr="00656794" w:rsidRDefault="006D6E7D" w:rsidP="006D6E7D">
            <w:pPr>
              <w:spacing w:after="0" w:line="240" w:lineRule="auto"/>
              <w:ind w:left="126"/>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Rischio operativo</w:t>
            </w:r>
          </w:p>
          <w:p w14:paraId="4A687762" w14:textId="0850B26B" w:rsidR="004C2BF1" w:rsidRPr="00656794" w:rsidRDefault="006D6E7D" w:rsidP="002A32A4">
            <w:pPr>
              <w:spacing w:after="0" w:line="240" w:lineRule="auto"/>
              <w:ind w:left="126"/>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Fondi recintati ad anello</w:t>
            </w:r>
            <w:r w:rsidR="002A32A4" w:rsidRPr="00656794">
              <w:rPr>
                <w:rFonts w:ascii="Arial" w:eastAsia="Times New Roman" w:hAnsi="Arial" w:cs="Arial"/>
                <w:color w:val="000000"/>
                <w:sz w:val="18"/>
                <w:szCs w:val="18"/>
                <w:shd w:val="clear" w:color="auto" w:fill="FFFFFF"/>
                <w:lang w:val="it-IT" w:eastAsia="en-IE"/>
              </w:rPr>
              <w:br/>
            </w:r>
            <w:r w:rsidRPr="00656794">
              <w:rPr>
                <w:rFonts w:ascii="Arial" w:eastAsia="Times New Roman" w:hAnsi="Arial" w:cs="Arial"/>
                <w:color w:val="000000"/>
                <w:sz w:val="18"/>
                <w:szCs w:val="18"/>
                <w:shd w:val="clear" w:color="auto" w:fill="FFFFFF"/>
                <w:lang w:val="it-IT" w:eastAsia="en-IE"/>
              </w:rPr>
              <w:t>Capacità di assorbimento delle perdite delle imposte differite</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806DE" w14:textId="08777D04" w:rsidR="004C2BF1" w:rsidRPr="00656794" w:rsidRDefault="004C2BF1" w:rsidP="002A32A4">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41</w:t>
            </w:r>
            <w:r w:rsidR="006D6E7D"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7 </w:t>
            </w:r>
            <w:r w:rsidR="002A32A4" w:rsidRPr="00656794">
              <w:rPr>
                <w:rFonts w:ascii="Arial" w:eastAsia="Times New Roman" w:hAnsi="Arial" w:cs="Arial"/>
                <w:color w:val="000000"/>
                <w:sz w:val="18"/>
                <w:szCs w:val="18"/>
                <w:lang w:val="it-IT" w:eastAsia="en-IE"/>
              </w:rPr>
              <w:br/>
            </w:r>
            <w:r w:rsidRPr="00656794">
              <w:rPr>
                <w:rFonts w:ascii="Arial" w:eastAsia="Times New Roman" w:hAnsi="Arial" w:cs="Arial"/>
                <w:color w:val="000000"/>
                <w:sz w:val="18"/>
                <w:szCs w:val="18"/>
                <w:lang w:val="it-IT" w:eastAsia="en-IE"/>
              </w:rPr>
              <w:t>20</w:t>
            </w:r>
            <w:r w:rsidR="006D6E7D"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8 </w:t>
            </w:r>
            <w:r w:rsidR="002A32A4" w:rsidRPr="00656794">
              <w:rPr>
                <w:rFonts w:ascii="Arial" w:eastAsia="Times New Roman" w:hAnsi="Arial" w:cs="Arial"/>
                <w:color w:val="000000"/>
                <w:sz w:val="18"/>
                <w:szCs w:val="18"/>
                <w:lang w:val="it-IT" w:eastAsia="en-IE"/>
              </w:rPr>
              <w:br/>
            </w:r>
            <w:r w:rsidRPr="00656794">
              <w:rPr>
                <w:rFonts w:ascii="Arial" w:eastAsia="Times New Roman" w:hAnsi="Arial" w:cs="Arial"/>
                <w:color w:val="000000"/>
                <w:sz w:val="18"/>
                <w:szCs w:val="18"/>
                <w:lang w:val="it-IT" w:eastAsia="en-IE"/>
              </w:rPr>
              <w:t>(18</w:t>
            </w:r>
            <w:r w:rsidR="006D6E7D"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9)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8104A" w14:textId="79F7BDB9" w:rsidR="004C2BF1" w:rsidRPr="00656794" w:rsidRDefault="004C2BF1" w:rsidP="002B0FFD">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lang w:val="it-IT" w:eastAsia="en-IE"/>
              </w:rPr>
              <w:t>42</w:t>
            </w:r>
            <w:r w:rsidR="006D6E7D"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0</w:t>
            </w:r>
            <w:r w:rsidR="002B0FFD" w:rsidRPr="00656794">
              <w:rPr>
                <w:rFonts w:ascii="Arial" w:eastAsia="Times New Roman" w:hAnsi="Arial" w:cs="Arial"/>
                <w:color w:val="000000"/>
                <w:sz w:val="18"/>
                <w:szCs w:val="18"/>
                <w:lang w:val="it-IT" w:eastAsia="en-IE"/>
              </w:rPr>
              <w:br/>
            </w:r>
            <w:r w:rsidRPr="00656794">
              <w:rPr>
                <w:rFonts w:ascii="Arial" w:eastAsia="Times New Roman" w:hAnsi="Arial" w:cs="Arial"/>
                <w:color w:val="000000"/>
                <w:sz w:val="18"/>
                <w:szCs w:val="18"/>
                <w:lang w:val="it-IT" w:eastAsia="en-IE"/>
              </w:rPr>
              <w:t>22</w:t>
            </w:r>
            <w:r w:rsidR="006D6E7D"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0</w:t>
            </w:r>
            <w:r w:rsidR="002B0FFD" w:rsidRPr="00656794">
              <w:rPr>
                <w:rFonts w:ascii="Arial" w:eastAsia="Times New Roman" w:hAnsi="Arial" w:cs="Arial"/>
                <w:color w:val="000000"/>
                <w:sz w:val="18"/>
                <w:szCs w:val="18"/>
                <w:lang w:val="it-IT" w:eastAsia="en-IE"/>
              </w:rPr>
              <w:br/>
            </w:r>
            <w:r w:rsidRPr="00656794">
              <w:rPr>
                <w:rFonts w:ascii="Arial" w:eastAsia="Times New Roman" w:hAnsi="Arial" w:cs="Arial"/>
                <w:color w:val="000000"/>
                <w:sz w:val="18"/>
                <w:szCs w:val="18"/>
                <w:lang w:val="it-IT" w:eastAsia="en-IE"/>
              </w:rPr>
              <w:t>-23</w:t>
            </w:r>
            <w:r w:rsidR="006D6E7D"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5</w:t>
            </w:r>
          </w:p>
        </w:tc>
      </w:tr>
      <w:tr w:rsidR="004C2BF1" w:rsidRPr="00656794" w14:paraId="606DB222" w14:textId="77777777" w:rsidTr="00D40481">
        <w:trPr>
          <w:trHeight w:val="345"/>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A47FB" w14:textId="01BA7F77" w:rsidR="004C2BF1" w:rsidRPr="00656794" w:rsidRDefault="006D6E7D" w:rsidP="004C2BF1">
            <w:pPr>
              <w:spacing w:after="0" w:line="240" w:lineRule="auto"/>
              <w:ind w:left="124"/>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Requisito patrimoniale di solvibilità</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84B3D" w14:textId="196DCCFE" w:rsidR="004C2BF1" w:rsidRPr="00656794" w:rsidRDefault="004C2BF1" w:rsidP="004C2BF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lang w:val="it-IT" w:eastAsia="en-IE"/>
              </w:rPr>
              <w:t>649</w:t>
            </w:r>
            <w:r w:rsidR="006D6E7D" w:rsidRPr="00656794">
              <w:rPr>
                <w:rFonts w:ascii="Arial" w:eastAsia="Times New Roman" w:hAnsi="Arial" w:cs="Arial"/>
                <w:b/>
                <w:bCs/>
                <w:color w:val="000000"/>
                <w:sz w:val="18"/>
                <w:szCs w:val="18"/>
                <w:lang w:val="it-IT" w:eastAsia="en-IE"/>
              </w:rPr>
              <w:t>,</w:t>
            </w:r>
            <w:r w:rsidRPr="00656794">
              <w:rPr>
                <w:rFonts w:ascii="Arial" w:eastAsia="Times New Roman" w:hAnsi="Arial" w:cs="Arial"/>
                <w:b/>
                <w:bCs/>
                <w:color w:val="000000"/>
                <w:sz w:val="18"/>
                <w:szCs w:val="18"/>
                <w:lang w:val="it-IT" w:eastAsia="en-IE"/>
              </w:rPr>
              <w:t>6 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B41F3" w14:textId="586833A3" w:rsidR="004C2BF1" w:rsidRPr="00656794" w:rsidRDefault="004C2BF1" w:rsidP="004C2BF1">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lang w:val="it-IT" w:eastAsia="en-IE"/>
              </w:rPr>
              <w:t>716</w:t>
            </w:r>
            <w:r w:rsidR="006D6E7D" w:rsidRPr="00656794">
              <w:rPr>
                <w:rFonts w:ascii="Arial" w:eastAsia="Times New Roman" w:hAnsi="Arial" w:cs="Arial"/>
                <w:b/>
                <w:bCs/>
                <w:color w:val="000000"/>
                <w:sz w:val="18"/>
                <w:szCs w:val="18"/>
                <w:lang w:val="it-IT" w:eastAsia="en-IE"/>
              </w:rPr>
              <w:t>,</w:t>
            </w:r>
            <w:r w:rsidRPr="00656794">
              <w:rPr>
                <w:rFonts w:ascii="Arial" w:eastAsia="Times New Roman" w:hAnsi="Arial" w:cs="Arial"/>
                <w:b/>
                <w:bCs/>
                <w:color w:val="000000"/>
                <w:sz w:val="18"/>
                <w:szCs w:val="18"/>
                <w:lang w:val="it-IT" w:eastAsia="en-IE"/>
              </w:rPr>
              <w:t>4</w:t>
            </w:r>
          </w:p>
        </w:tc>
      </w:tr>
    </w:tbl>
    <w:p w14:paraId="61DA290C" w14:textId="5DF2B0E5" w:rsidR="00E76979" w:rsidRPr="00656794" w:rsidRDefault="00E76979" w:rsidP="009D2427">
      <w:pPr>
        <w:pStyle w:val="NormalWeb"/>
        <w:ind w:right="102"/>
        <w:jc w:val="both"/>
        <w:rPr>
          <w:rFonts w:ascii="Arial" w:hAnsi="Arial" w:cs="Arial"/>
          <w:color w:val="000000"/>
          <w:sz w:val="12"/>
          <w:szCs w:val="12"/>
          <w:shd w:val="clear" w:color="auto" w:fill="FFFFFF"/>
          <w:lang w:val="it-IT"/>
        </w:rPr>
      </w:pPr>
      <w:r w:rsidRPr="00656794">
        <w:rPr>
          <w:rFonts w:ascii="Arial" w:hAnsi="Arial" w:cs="Arial"/>
          <w:color w:val="000000"/>
          <w:sz w:val="12"/>
          <w:szCs w:val="12"/>
          <w:shd w:val="clear" w:color="auto" w:fill="FFFFFF"/>
          <w:lang w:val="it-IT"/>
        </w:rPr>
        <w:t>Fonte: 2020 SFCR, analisi ZLAP</w:t>
      </w:r>
    </w:p>
    <w:p w14:paraId="06D332EC" w14:textId="73D92B5F"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Nella gestione del proprio capitale,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di ZLAP considera sia i requisiti normativi che la propria visione interna.</w:t>
      </w:r>
    </w:p>
    <w:p w14:paraId="6F553450" w14:textId="787BCA8D"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Al fine di quantificare la propria visione interna dei rischi materiali, ZLAP utilizza un modello di capitale economico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ECM</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ECM è una misura diversificata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entità giuridica da 1 a 200 anni. Per scopi interni, ZLAP mira a un livello di attività disponibili, determinato sulla base del Market Consistent Embedded Value, superiore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importo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ECM.</w:t>
      </w:r>
    </w:p>
    <w:p w14:paraId="32C4E430" w14:textId="77777777"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Ai fini della gestione del proprio capitale regolamentare, ZLAP ha un obiettivo di capitale interno ben superiore al minimo regolamentare, con politiche interne che specificano le attività da intraprendere qualora la copertura scenda al di sotto degli obiettivi interni.</w:t>
      </w:r>
    </w:p>
    <w:p w14:paraId="3C9D7EB6" w14:textId="312A835B" w:rsidR="00E76979" w:rsidRPr="00656794" w:rsidRDefault="009D2427" w:rsidP="00E76979">
      <w:pPr>
        <w:spacing w:before="136" w:after="0" w:line="240" w:lineRule="auto"/>
        <w:rPr>
          <w:rFonts w:ascii="Arial" w:eastAsia="Times New Roman" w:hAnsi="Arial" w:cs="Arial"/>
          <w:color w:val="00338D"/>
          <w:sz w:val="24"/>
          <w:szCs w:val="24"/>
          <w:lang w:val="it-IT" w:eastAsia="en-IE"/>
        </w:rPr>
      </w:pPr>
      <w:r w:rsidRPr="00656794">
        <w:rPr>
          <w:rFonts w:ascii="Arial" w:eastAsia="Times New Roman" w:hAnsi="Arial" w:cs="Arial"/>
          <w:color w:val="00338D"/>
          <w:sz w:val="24"/>
          <w:szCs w:val="24"/>
          <w:lang w:val="it-IT" w:eastAsia="en-IE"/>
        </w:rPr>
        <w:t>4.5.4 Posizione di solvibilità prevista</w:t>
      </w:r>
    </w:p>
    <w:p w14:paraId="3F3480BE" w14:textId="18652E68"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Come notato sopra, come parte della mia </w:t>
      </w:r>
      <w:r w:rsidR="008C4663">
        <w:rPr>
          <w:rFonts w:ascii="Arial" w:hAnsi="Arial" w:cs="Arial"/>
          <w:color w:val="000000"/>
          <w:sz w:val="20"/>
          <w:szCs w:val="20"/>
          <w:lang w:val="it-IT"/>
        </w:rPr>
        <w:t>revisione</w:t>
      </w:r>
      <w:r w:rsidRPr="00656794">
        <w:rPr>
          <w:rFonts w:ascii="Arial" w:hAnsi="Arial" w:cs="Arial"/>
          <w:color w:val="000000"/>
          <w:sz w:val="20"/>
          <w:szCs w:val="20"/>
          <w:lang w:val="it-IT"/>
        </w:rPr>
        <w:t xml:space="preserve"> mi è </w:t>
      </w:r>
      <w:r w:rsidR="009E4FD4" w:rsidRPr="00656794">
        <w:rPr>
          <w:rFonts w:ascii="Arial" w:hAnsi="Arial" w:cs="Arial"/>
          <w:color w:val="000000"/>
          <w:sz w:val="20"/>
          <w:szCs w:val="20"/>
          <w:lang w:val="it-IT"/>
        </w:rPr>
        <w:t>stat</w:t>
      </w:r>
      <w:r w:rsidR="00D23E73">
        <w:rPr>
          <w:rFonts w:ascii="Arial" w:hAnsi="Arial" w:cs="Arial"/>
          <w:color w:val="000000"/>
          <w:sz w:val="20"/>
          <w:szCs w:val="20"/>
          <w:lang w:val="it-IT"/>
        </w:rPr>
        <w:t>o</w:t>
      </w:r>
      <w:r w:rsidR="009E4FD4" w:rsidRPr="00656794">
        <w:rPr>
          <w:rFonts w:ascii="Arial" w:hAnsi="Arial" w:cs="Arial"/>
          <w:color w:val="000000"/>
          <w:sz w:val="20"/>
          <w:szCs w:val="20"/>
          <w:lang w:val="it-IT"/>
        </w:rPr>
        <w:t xml:space="preserve"> fornit</w:t>
      </w:r>
      <w:r w:rsidR="00D23E73">
        <w:rPr>
          <w:rFonts w:ascii="Arial" w:hAnsi="Arial" w:cs="Arial"/>
          <w:color w:val="000000"/>
          <w:sz w:val="20"/>
          <w:szCs w:val="20"/>
          <w:lang w:val="it-IT"/>
        </w:rPr>
        <w:t>o il rapporto</w:t>
      </w:r>
      <w:r w:rsidRPr="00656794">
        <w:rPr>
          <w:rFonts w:ascii="Arial" w:hAnsi="Arial" w:cs="Arial"/>
          <w:color w:val="000000"/>
          <w:sz w:val="20"/>
          <w:szCs w:val="20"/>
          <w:lang w:val="it-IT"/>
        </w:rPr>
        <w:t xml:space="preserve"> ORSA</w:t>
      </w:r>
      <w:r w:rsidR="00D82437">
        <w:rPr>
          <w:rFonts w:ascii="Arial" w:hAnsi="Arial" w:cs="Arial"/>
          <w:color w:val="000000"/>
          <w:sz w:val="20"/>
          <w:szCs w:val="20"/>
          <w:lang w:val="it-IT"/>
        </w:rPr>
        <w:t xml:space="preserve"> di ZLAP</w:t>
      </w:r>
      <w:r w:rsidRPr="00656794">
        <w:rPr>
          <w:rFonts w:ascii="Arial" w:hAnsi="Arial" w:cs="Arial"/>
          <w:color w:val="000000"/>
          <w:sz w:val="20"/>
          <w:szCs w:val="20"/>
          <w:lang w:val="it-IT"/>
        </w:rPr>
        <w:t xml:space="preserve">. Ho considerato </w:t>
      </w:r>
      <w:r w:rsidR="00D23E73">
        <w:rPr>
          <w:rFonts w:ascii="Arial" w:hAnsi="Arial" w:cs="Arial"/>
          <w:color w:val="000000"/>
          <w:sz w:val="20"/>
          <w:szCs w:val="20"/>
          <w:lang w:val="it-IT"/>
        </w:rPr>
        <w:t>il rapporto</w:t>
      </w:r>
      <w:r w:rsidRPr="00656794">
        <w:rPr>
          <w:rFonts w:ascii="Arial" w:hAnsi="Arial" w:cs="Arial"/>
          <w:color w:val="000000"/>
          <w:sz w:val="20"/>
          <w:szCs w:val="20"/>
          <w:lang w:val="it-IT"/>
        </w:rPr>
        <w:t xml:space="preserve"> come parte della mia revisione, ma mi sono astenuto dal replicare tutti i dettagli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di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w:t>
      </w:r>
    </w:p>
    <w:p w14:paraId="5C3BCD9E" w14:textId="1003522F" w:rsidR="009D2427" w:rsidRPr="00656794" w:rsidRDefault="00D82437" w:rsidP="009D2427">
      <w:pPr>
        <w:pStyle w:val="NormalWeb"/>
        <w:ind w:right="102"/>
        <w:jc w:val="both"/>
        <w:rPr>
          <w:rFonts w:ascii="Arial" w:hAnsi="Arial" w:cs="Arial"/>
          <w:color w:val="000000"/>
          <w:sz w:val="20"/>
          <w:szCs w:val="20"/>
          <w:lang w:val="it-IT"/>
        </w:rPr>
      </w:pPr>
      <w:r>
        <w:rPr>
          <w:rFonts w:ascii="Arial" w:hAnsi="Arial" w:cs="Arial"/>
          <w:color w:val="000000"/>
          <w:sz w:val="20"/>
          <w:szCs w:val="20"/>
          <w:lang w:val="it-IT"/>
        </w:rPr>
        <w:t>L’</w:t>
      </w:r>
      <w:r w:rsidR="009D2427" w:rsidRPr="00656794">
        <w:rPr>
          <w:rFonts w:ascii="Arial" w:hAnsi="Arial" w:cs="Arial"/>
          <w:color w:val="000000"/>
          <w:sz w:val="20"/>
          <w:szCs w:val="20"/>
          <w:lang w:val="it-IT"/>
        </w:rPr>
        <w:t>ORSA è parte integrante del sistema di gestione dei rischi di ciascuna società e ha lo scopo di includere una valutazione delle esigenze di solvibilità complessive della società</w:t>
      </w:r>
      <w:r w:rsidR="00526E24">
        <w:rPr>
          <w:rFonts w:ascii="Arial" w:hAnsi="Arial" w:cs="Arial"/>
          <w:color w:val="000000"/>
          <w:sz w:val="20"/>
          <w:szCs w:val="20"/>
          <w:lang w:val="it-IT"/>
        </w:rPr>
        <w:t xml:space="preserve">, </w:t>
      </w:r>
      <w:r w:rsidR="00852BEF" w:rsidRPr="00852BEF">
        <w:rPr>
          <w:rFonts w:ascii="Arial" w:hAnsi="Arial" w:cs="Arial"/>
          <w:color w:val="000000"/>
          <w:sz w:val="20"/>
          <w:szCs w:val="20"/>
          <w:lang w:val="it-IT"/>
        </w:rPr>
        <w:t>la conformità su base continua</w:t>
      </w:r>
      <w:r w:rsidR="00852BEF">
        <w:rPr>
          <w:rFonts w:ascii="Arial" w:hAnsi="Arial" w:cs="Arial"/>
          <w:color w:val="000000"/>
          <w:sz w:val="20"/>
          <w:szCs w:val="20"/>
          <w:lang w:val="it-IT"/>
        </w:rPr>
        <w:t xml:space="preserve"> </w:t>
      </w:r>
      <w:r w:rsidR="009D2427" w:rsidRPr="00656794">
        <w:rPr>
          <w:rFonts w:ascii="Arial" w:hAnsi="Arial" w:cs="Arial"/>
          <w:color w:val="000000"/>
          <w:sz w:val="20"/>
          <w:szCs w:val="20"/>
          <w:lang w:val="it-IT"/>
        </w:rPr>
        <w:t>dei requisiti patrimoniali Solvency II e la significatività con cui il profilo di rischio d</w:t>
      </w:r>
      <w:r w:rsidR="002B0FFD" w:rsidRPr="00656794">
        <w:rPr>
          <w:rFonts w:ascii="Arial" w:hAnsi="Arial" w:cs="Arial"/>
          <w:color w:val="000000"/>
          <w:sz w:val="20"/>
          <w:szCs w:val="20"/>
          <w:lang w:val="it-IT"/>
        </w:rPr>
        <w:t>ell</w:t>
      </w:r>
      <w:r w:rsidR="009D2427" w:rsidRPr="00656794">
        <w:rPr>
          <w:rFonts w:ascii="Arial" w:hAnsi="Arial" w:cs="Arial"/>
          <w:color w:val="000000"/>
          <w:sz w:val="20"/>
          <w:szCs w:val="20"/>
          <w:lang w:val="it-IT"/>
        </w:rPr>
        <w:t>a società differisce dalle assunzioni alla base dell</w:t>
      </w:r>
      <w:r w:rsidR="00F23A40" w:rsidRPr="00656794">
        <w:rPr>
          <w:rFonts w:ascii="Arial" w:hAnsi="Arial" w:cs="Arial"/>
          <w:color w:val="000000"/>
          <w:sz w:val="20"/>
          <w:szCs w:val="20"/>
          <w:lang w:val="it-IT"/>
        </w:rPr>
        <w:t>’</w:t>
      </w:r>
      <w:r w:rsidR="009D2427" w:rsidRPr="00656794">
        <w:rPr>
          <w:rFonts w:ascii="Arial" w:hAnsi="Arial" w:cs="Arial"/>
          <w:color w:val="000000"/>
          <w:sz w:val="20"/>
          <w:szCs w:val="20"/>
          <w:lang w:val="it-IT"/>
        </w:rPr>
        <w:t>SCR. ORSA dovrebbe essere parte integrante della strategia aziendale e dovrebbe essere presa in considerazione su base continuativa nelle decisioni strategiche dell</w:t>
      </w:r>
      <w:r w:rsidR="00F23A40" w:rsidRPr="00656794">
        <w:rPr>
          <w:rFonts w:ascii="Arial" w:hAnsi="Arial" w:cs="Arial"/>
          <w:color w:val="000000"/>
          <w:sz w:val="20"/>
          <w:szCs w:val="20"/>
          <w:lang w:val="it-IT"/>
        </w:rPr>
        <w:t>’</w:t>
      </w:r>
      <w:r w:rsidR="009D2427" w:rsidRPr="00656794">
        <w:rPr>
          <w:rFonts w:ascii="Arial" w:hAnsi="Arial" w:cs="Arial"/>
          <w:color w:val="000000"/>
          <w:sz w:val="20"/>
          <w:szCs w:val="20"/>
          <w:lang w:val="it-IT"/>
        </w:rPr>
        <w:t>azienda.</w:t>
      </w:r>
    </w:p>
    <w:p w14:paraId="7D4C0302" w14:textId="2A1895F1"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 è utile ai fini della comprensione dei rischi insiti nel business e della stabilità nel tempo della posizione patrimoniale Solvency II. Come parte del processo ORSA complessivo di ZLAP, è stata preparata una proiezione di base centrale, che ha considerato come dovrebbe emergere la posizione patrimoniale Solvency II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orizzonte di pianificazione aziendale di ZLAP.</w:t>
      </w:r>
    </w:p>
    <w:p w14:paraId="3678F9BD" w14:textId="3BA0FAB8" w:rsidR="009D2427" w:rsidRPr="00656794" w:rsidRDefault="009D2427" w:rsidP="00D40481">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 termini generali, la proiezione centrale indica che la copertura del capitale di ZLAP sarà mantenuta nel tempo (dopo aver consentito i dividendi alla controllante del Gruppo). Ho discusso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attuale livello di solvibilità e la progressione come identificato di seguito per capire come dovrebbe verificarsi la transizione alla fine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anno 2021. Questo dettaglio non è incluso.</w:t>
      </w:r>
    </w:p>
    <w:tbl>
      <w:tblPr>
        <w:tblW w:w="0" w:type="auto"/>
        <w:tblCellMar>
          <w:top w:w="15" w:type="dxa"/>
          <w:left w:w="15" w:type="dxa"/>
          <w:bottom w:w="15" w:type="dxa"/>
          <w:right w:w="15" w:type="dxa"/>
        </w:tblCellMar>
        <w:tblLook w:val="04A0" w:firstRow="1" w:lastRow="0" w:firstColumn="1" w:lastColumn="0" w:noHBand="0" w:noVBand="1"/>
      </w:tblPr>
      <w:tblGrid>
        <w:gridCol w:w="2117"/>
        <w:gridCol w:w="1701"/>
        <w:gridCol w:w="1701"/>
        <w:gridCol w:w="1701"/>
        <w:gridCol w:w="1701"/>
      </w:tblGrid>
      <w:tr w:rsidR="00E76979" w:rsidRPr="00B84464" w14:paraId="42AC75FD" w14:textId="77777777" w:rsidTr="00351EB5">
        <w:trPr>
          <w:trHeight w:val="173"/>
        </w:trPr>
        <w:tc>
          <w:tcPr>
            <w:tcW w:w="8921" w:type="dxa"/>
            <w:gridSpan w:val="5"/>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tcPr>
          <w:p w14:paraId="7D5BB7F0" w14:textId="43C6F618" w:rsidR="00E76979" w:rsidRPr="00656794" w:rsidRDefault="00D10226" w:rsidP="006924C4">
            <w:pPr>
              <w:spacing w:after="0" w:line="240" w:lineRule="auto"/>
              <w:rPr>
                <w:rFonts w:ascii="Arial" w:eastAsia="Times New Roman" w:hAnsi="Arial" w:cs="Arial"/>
                <w:b/>
                <w:bCs/>
                <w:color w:val="FFFFFF" w:themeColor="background1"/>
                <w:sz w:val="18"/>
                <w:szCs w:val="18"/>
                <w:lang w:val="it-IT" w:eastAsia="en-IE"/>
              </w:rPr>
            </w:pPr>
            <w:r w:rsidRPr="00656794">
              <w:rPr>
                <w:rFonts w:ascii="Arial" w:eastAsia="Times New Roman" w:hAnsi="Arial" w:cs="Arial"/>
                <w:b/>
                <w:bCs/>
                <w:color w:val="FFFFFF" w:themeColor="background1"/>
                <w:sz w:val="18"/>
                <w:szCs w:val="18"/>
                <w:lang w:val="it-IT" w:eastAsia="en-IE"/>
              </w:rPr>
              <w:t>Tabella 4.5: Proiezione base ZLAP ORSA</w:t>
            </w:r>
          </w:p>
        </w:tc>
      </w:tr>
      <w:tr w:rsidR="00E76979" w:rsidRPr="00656794" w14:paraId="6373D45C" w14:textId="77777777" w:rsidTr="00351EB5">
        <w:trPr>
          <w:trHeight w:val="320"/>
        </w:trPr>
        <w:tc>
          <w:tcPr>
            <w:tcW w:w="211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43C604C2" w14:textId="244BDA6A" w:rsidR="00E76979" w:rsidRPr="00656794" w:rsidRDefault="00D10226" w:rsidP="003973C9">
            <w:pPr>
              <w:spacing w:after="0" w:line="240" w:lineRule="auto"/>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Componente di bilancio</w:t>
            </w:r>
          </w:p>
        </w:tc>
        <w:tc>
          <w:tcPr>
            <w:tcW w:w="170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1EB1536E" w14:textId="0D254CD8" w:rsidR="00E76979" w:rsidRPr="00656794" w:rsidRDefault="0086744A" w:rsidP="006924C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Fine anno 2021</w:t>
            </w:r>
          </w:p>
        </w:tc>
        <w:tc>
          <w:tcPr>
            <w:tcW w:w="170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13DA6B58" w14:textId="420BDFCA" w:rsidR="00E76979" w:rsidRPr="00656794" w:rsidRDefault="0086744A" w:rsidP="006924C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Fine anno 2022</w:t>
            </w:r>
          </w:p>
        </w:tc>
        <w:tc>
          <w:tcPr>
            <w:tcW w:w="170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3D54D447" w14:textId="5DA854E6" w:rsidR="00E76979" w:rsidRPr="00656794" w:rsidRDefault="0086744A" w:rsidP="006924C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Fine anno 2023</w:t>
            </w:r>
          </w:p>
        </w:tc>
        <w:tc>
          <w:tcPr>
            <w:tcW w:w="170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7A60824E" w14:textId="7E747EDB" w:rsidR="00E76979" w:rsidRPr="00656794" w:rsidRDefault="0086744A" w:rsidP="006924C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Fine anno 2024</w:t>
            </w:r>
          </w:p>
        </w:tc>
      </w:tr>
      <w:tr w:rsidR="009D2427" w:rsidRPr="00656794" w14:paraId="308658DC" w14:textId="77777777" w:rsidTr="00351EB5">
        <w:trPr>
          <w:trHeight w:val="20"/>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19BBA" w14:textId="1BFB53B1" w:rsidR="009D2427" w:rsidRPr="00656794" w:rsidRDefault="0086744A" w:rsidP="003973C9">
            <w:pPr>
              <w:spacing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 xml:space="preserve">Copertura </w:t>
            </w:r>
            <w:r w:rsidR="009D2427" w:rsidRPr="00656794">
              <w:rPr>
                <w:rFonts w:ascii="Arial" w:eastAsia="Times New Roman" w:hAnsi="Arial" w:cs="Arial"/>
                <w:b/>
                <w:bCs/>
                <w:color w:val="000000"/>
                <w:sz w:val="18"/>
                <w:szCs w:val="18"/>
                <w:shd w:val="clear" w:color="auto" w:fill="FFFFFF"/>
                <w:lang w:val="it-IT" w:eastAsia="en-IE"/>
              </w:rPr>
              <w:t>SCR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02721" w14:textId="77777777"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127%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A00CA" w14:textId="77777777"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131%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D437C" w14:textId="77777777"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132%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2E0C9" w14:textId="77777777" w:rsidR="009D2427" w:rsidRPr="00656794" w:rsidRDefault="009D2427" w:rsidP="009D2427">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131%</w:t>
            </w:r>
          </w:p>
        </w:tc>
      </w:tr>
    </w:tbl>
    <w:p w14:paraId="5D35B7AA" w14:textId="77777777" w:rsidR="005E6F6A" w:rsidRPr="00656794" w:rsidRDefault="005E6F6A" w:rsidP="009D2427">
      <w:pPr>
        <w:pStyle w:val="NormalWeb"/>
        <w:ind w:right="102"/>
        <w:jc w:val="both"/>
        <w:rPr>
          <w:rFonts w:ascii="Arial" w:hAnsi="Arial" w:cs="Arial"/>
          <w:color w:val="000000"/>
          <w:sz w:val="12"/>
          <w:szCs w:val="12"/>
          <w:shd w:val="clear" w:color="auto" w:fill="FFFFFF"/>
          <w:lang w:val="it-IT"/>
        </w:rPr>
      </w:pPr>
      <w:r w:rsidRPr="00656794">
        <w:rPr>
          <w:rFonts w:ascii="Arial" w:hAnsi="Arial" w:cs="Arial"/>
          <w:color w:val="000000"/>
          <w:sz w:val="12"/>
          <w:szCs w:val="12"/>
          <w:shd w:val="clear" w:color="auto" w:fill="FFFFFF"/>
          <w:lang w:val="it-IT"/>
        </w:rPr>
        <w:lastRenderedPageBreak/>
        <w:t>Fonte: Rapporto ORSA ZLAP 2020</w:t>
      </w:r>
    </w:p>
    <w:p w14:paraId="312A5C2A" w14:textId="1AB7C86F"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 processo e </w:t>
      </w:r>
      <w:r w:rsidR="00D23E73">
        <w:rPr>
          <w:rFonts w:ascii="Arial" w:hAnsi="Arial" w:cs="Arial"/>
          <w:color w:val="000000"/>
          <w:sz w:val="20"/>
          <w:szCs w:val="20"/>
          <w:lang w:val="it-IT"/>
        </w:rPr>
        <w:t>del rapporto ORSA</w:t>
      </w:r>
      <w:r w:rsidRPr="00656794">
        <w:rPr>
          <w:rFonts w:ascii="Arial" w:hAnsi="Arial" w:cs="Arial"/>
          <w:color w:val="000000"/>
          <w:sz w:val="20"/>
          <w:szCs w:val="20"/>
          <w:lang w:val="it-IT"/>
        </w:rPr>
        <w:t>, ZLAP ha inoltre sottoposto il proprio bilancio previsto a una serie di stress e scenari avversi, in modo da valutare la resilienza del proprio bilancio in futuro. Non ho replicato i dettagli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di </w:t>
      </w:r>
      <w:r w:rsidR="00526E24">
        <w:rPr>
          <w:rFonts w:ascii="Arial" w:hAnsi="Arial" w:cs="Arial"/>
          <w:color w:val="000000"/>
          <w:sz w:val="20"/>
          <w:szCs w:val="20"/>
          <w:lang w:val="it-IT"/>
        </w:rPr>
        <w:t>questa Relazione</w:t>
      </w:r>
      <w:r w:rsidRPr="00656794">
        <w:rPr>
          <w:rFonts w:ascii="Arial" w:hAnsi="Arial" w:cs="Arial"/>
          <w:color w:val="000000"/>
          <w:sz w:val="20"/>
          <w:szCs w:val="20"/>
          <w:lang w:val="it-IT"/>
        </w:rPr>
        <w:t xml:space="preserve"> per ragioni di materialità, ma non sono stati identificati problemi materiali che debbano essere commentati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di quest</w:t>
      </w:r>
      <w:r w:rsidR="00526E24">
        <w:rPr>
          <w:rFonts w:ascii="Arial" w:hAnsi="Arial" w:cs="Arial"/>
          <w:color w:val="000000"/>
          <w:sz w:val="20"/>
          <w:szCs w:val="20"/>
          <w:lang w:val="it-IT"/>
        </w:rPr>
        <w:t>a Relazione</w:t>
      </w:r>
      <w:r w:rsidRPr="00656794">
        <w:rPr>
          <w:rFonts w:ascii="Arial" w:hAnsi="Arial" w:cs="Arial"/>
          <w:color w:val="000000"/>
          <w:sz w:val="20"/>
          <w:szCs w:val="20"/>
          <w:lang w:val="it-IT"/>
        </w:rPr>
        <w:t>. La tabella 4.6 di seguito delinea i principali stress considerati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ambito </w:t>
      </w:r>
      <w:r w:rsidR="00D23E73" w:rsidRPr="00656794">
        <w:rPr>
          <w:rFonts w:ascii="Arial" w:hAnsi="Arial" w:cs="Arial"/>
          <w:color w:val="000000"/>
          <w:sz w:val="20"/>
          <w:szCs w:val="20"/>
          <w:lang w:val="it-IT"/>
        </w:rPr>
        <w:t>d</w:t>
      </w:r>
      <w:r w:rsidR="00D23E73">
        <w:rPr>
          <w:rFonts w:ascii="Arial" w:hAnsi="Arial" w:cs="Arial"/>
          <w:color w:val="000000"/>
          <w:sz w:val="20"/>
          <w:szCs w:val="20"/>
          <w:lang w:val="it-IT"/>
        </w:rPr>
        <w:t xml:space="preserve">i </w:t>
      </w:r>
      <w:r w:rsidR="00D23E73" w:rsidRPr="00656794">
        <w:rPr>
          <w:rFonts w:ascii="Arial" w:hAnsi="Arial" w:cs="Arial"/>
          <w:color w:val="000000"/>
          <w:sz w:val="20"/>
          <w:szCs w:val="20"/>
          <w:lang w:val="it-IT"/>
        </w:rPr>
        <w:t>ORSA</w:t>
      </w:r>
      <w:r w:rsidRPr="00656794">
        <w:rPr>
          <w:rFonts w:ascii="Arial" w:hAnsi="Arial" w:cs="Arial"/>
          <w:color w:val="000000"/>
          <w:sz w:val="20"/>
          <w:szCs w:val="20"/>
          <w:lang w:val="it-IT"/>
        </w:rPr>
        <w:t>. Noto che sono state prese in considerazione anche altre sollecitazioni, ma il dettaglio non è stato incluso qui.</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9D2427" w:rsidRPr="00B84464" w14:paraId="35E6AB68" w14:textId="77777777" w:rsidTr="006924C4">
        <w:trPr>
          <w:trHeight w:val="217"/>
        </w:trPr>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0908E931" w14:textId="5E3452ED" w:rsidR="009D2427" w:rsidRPr="00656794" w:rsidRDefault="005E6F6A" w:rsidP="006924C4">
            <w:pPr>
              <w:spacing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FFFFFF" w:themeColor="background1"/>
                <w:sz w:val="18"/>
                <w:szCs w:val="18"/>
                <w:lang w:val="it-IT" w:eastAsia="en-IE"/>
              </w:rPr>
              <w:t>Tabella 4.6: Scenari di stress utilizzati nel 2020 ORSA</w:t>
            </w:r>
          </w:p>
        </w:tc>
      </w:tr>
      <w:tr w:rsidR="005E6F6A" w:rsidRPr="00B84464" w14:paraId="60317CBA" w14:textId="77777777" w:rsidTr="009D2427">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A8DDE" w14:textId="59D35780" w:rsidR="005E6F6A" w:rsidRPr="00656794" w:rsidRDefault="005E6F6A" w:rsidP="005E6F6A">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Double dip (calo delle azioni, aumento degli spread obbligazionari, aumento dei tassi di decadimento, diminuzione dei nuovi affari)</w:t>
            </w:r>
          </w:p>
        </w:tc>
      </w:tr>
      <w:tr w:rsidR="005E6F6A" w:rsidRPr="00B84464" w14:paraId="18201AAE" w14:textId="77777777" w:rsidTr="009D2427">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AC7CE" w14:textId="300B3BC7" w:rsidR="005E6F6A" w:rsidRPr="00656794" w:rsidRDefault="005E6F6A" w:rsidP="005E6F6A">
            <w:pPr>
              <w:spacing w:after="0" w:line="240" w:lineRule="auto"/>
              <w:ind w:left="124" w:right="643" w:firstLine="2"/>
              <w:rPr>
                <w:rFonts w:ascii="Arial" w:eastAsia="Times New Roman" w:hAnsi="Arial" w:cs="Arial"/>
                <w:sz w:val="18"/>
                <w:szCs w:val="18"/>
                <w:lang w:val="it-IT" w:eastAsia="en-IE"/>
              </w:rPr>
            </w:pPr>
            <w:r w:rsidRPr="00656794">
              <w:rPr>
                <w:rFonts w:ascii="Arial" w:hAnsi="Arial" w:cs="Arial"/>
                <w:sz w:val="18"/>
                <w:szCs w:val="18"/>
                <w:lang w:val="it-IT"/>
              </w:rPr>
              <w:t>Stagnazione del mercato (nessun rendimento reale sulle attività, calo dei tassi di swap, aumento dei tassi di estinzione, diminuzione dei nuovi affari)</w:t>
            </w:r>
          </w:p>
        </w:tc>
      </w:tr>
      <w:tr w:rsidR="005E6F6A" w:rsidRPr="00B84464" w14:paraId="47322524" w14:textId="77777777" w:rsidTr="009D2427">
        <w:trPr>
          <w:trHeight w:val="2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C4DD2" w14:textId="536FE794" w:rsidR="005E6F6A" w:rsidRPr="00656794" w:rsidRDefault="005E6F6A" w:rsidP="005E6F6A">
            <w:pPr>
              <w:spacing w:after="0" w:line="240" w:lineRule="auto"/>
              <w:ind w:left="126"/>
              <w:rPr>
                <w:rFonts w:ascii="Arial" w:eastAsia="Times New Roman" w:hAnsi="Arial" w:cs="Arial"/>
                <w:sz w:val="18"/>
                <w:szCs w:val="18"/>
                <w:lang w:val="it-IT" w:eastAsia="en-IE"/>
              </w:rPr>
            </w:pPr>
            <w:r w:rsidRPr="00656794">
              <w:rPr>
                <w:rFonts w:ascii="Arial" w:hAnsi="Arial" w:cs="Arial"/>
                <w:sz w:val="18"/>
                <w:szCs w:val="18"/>
                <w:lang w:val="it-IT"/>
              </w:rPr>
              <w:t>Recupero moderato (rendimento reale delle attività, diminuzione dei tassi di decadimento, aumento dei nuovi affari)</w:t>
            </w:r>
          </w:p>
        </w:tc>
      </w:tr>
      <w:tr w:rsidR="005E6F6A" w:rsidRPr="00B84464" w14:paraId="2AF43038" w14:textId="77777777" w:rsidTr="009D2427">
        <w:trPr>
          <w:trHeight w:val="4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7A43A" w14:textId="271A8A45" w:rsidR="005E6F6A" w:rsidRPr="00656794" w:rsidRDefault="005E6F6A" w:rsidP="005E6F6A">
            <w:pPr>
              <w:spacing w:after="0" w:line="240" w:lineRule="auto"/>
              <w:ind w:left="119" w:right="893" w:firstLine="2"/>
              <w:rPr>
                <w:rFonts w:ascii="Arial" w:eastAsia="Times New Roman" w:hAnsi="Arial" w:cs="Arial"/>
                <w:sz w:val="18"/>
                <w:szCs w:val="18"/>
                <w:lang w:val="it-IT" w:eastAsia="en-IE"/>
              </w:rPr>
            </w:pPr>
            <w:r w:rsidRPr="00656794">
              <w:rPr>
                <w:rFonts w:ascii="Arial" w:hAnsi="Arial" w:cs="Arial"/>
                <w:sz w:val="18"/>
                <w:szCs w:val="18"/>
                <w:lang w:val="it-IT"/>
              </w:rPr>
              <w:t>Forte ripresa (aumento dei valori azionari, rendimento reale delle attività, aumento dei tassi di interesse, diminuzione dei tassi di estinzione, aumento dei nuovi affari)</w:t>
            </w:r>
          </w:p>
        </w:tc>
      </w:tr>
      <w:tr w:rsidR="005E6F6A" w:rsidRPr="00B84464" w14:paraId="68B3638E" w14:textId="77777777" w:rsidTr="009D2427">
        <w:trPr>
          <w:trHeight w:val="2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AA470" w14:textId="239CF52A" w:rsidR="005E6F6A" w:rsidRPr="00656794" w:rsidRDefault="005E6F6A" w:rsidP="005E6F6A">
            <w:pPr>
              <w:spacing w:after="0" w:line="240" w:lineRule="auto"/>
              <w:ind w:left="130"/>
              <w:rPr>
                <w:rFonts w:ascii="Arial" w:eastAsia="Times New Roman" w:hAnsi="Arial" w:cs="Arial"/>
                <w:sz w:val="18"/>
                <w:szCs w:val="18"/>
                <w:lang w:val="it-IT" w:eastAsia="en-IE"/>
              </w:rPr>
            </w:pPr>
            <w:r w:rsidRPr="00656794">
              <w:rPr>
                <w:rFonts w:ascii="Arial" w:hAnsi="Arial" w:cs="Arial"/>
                <w:sz w:val="18"/>
                <w:szCs w:val="18"/>
                <w:lang w:val="it-IT"/>
              </w:rPr>
              <w:t>Rischio assicurativo (aumento dei tassi di mortalità e morbilità)</w:t>
            </w:r>
          </w:p>
        </w:tc>
      </w:tr>
      <w:tr w:rsidR="005E6F6A" w:rsidRPr="00B84464" w14:paraId="0ED3A029" w14:textId="77777777" w:rsidTr="009D2427">
        <w:trPr>
          <w:trHeight w:val="2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F3CFD" w14:textId="685BB8E0" w:rsidR="005E6F6A" w:rsidRPr="00656794" w:rsidRDefault="005E6F6A" w:rsidP="005E6F6A">
            <w:pPr>
              <w:spacing w:after="0" w:line="240" w:lineRule="auto"/>
              <w:ind w:left="126"/>
              <w:rPr>
                <w:rFonts w:ascii="Arial" w:eastAsia="Times New Roman" w:hAnsi="Arial" w:cs="Arial"/>
                <w:sz w:val="18"/>
                <w:szCs w:val="18"/>
                <w:lang w:val="it-IT" w:eastAsia="en-IE"/>
              </w:rPr>
            </w:pPr>
            <w:r w:rsidRPr="00656794">
              <w:rPr>
                <w:rFonts w:ascii="Arial" w:hAnsi="Arial" w:cs="Arial"/>
                <w:sz w:val="18"/>
                <w:szCs w:val="18"/>
                <w:lang w:val="it-IT"/>
              </w:rPr>
              <w:t>Turbativa del mercato (aumento dei tassi di insolvenza, diminuzione dei nuovi volumi di affari)</w:t>
            </w:r>
          </w:p>
        </w:tc>
      </w:tr>
      <w:tr w:rsidR="005E6F6A" w:rsidRPr="00B84464" w14:paraId="018DC0AF" w14:textId="77777777" w:rsidTr="009D2427">
        <w:trPr>
          <w:trHeight w:val="2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40E19" w14:textId="51A33921" w:rsidR="005E6F6A" w:rsidRPr="00656794" w:rsidRDefault="005E6F6A" w:rsidP="005E6F6A">
            <w:pPr>
              <w:spacing w:after="0" w:line="240" w:lineRule="auto"/>
              <w:ind w:left="113"/>
              <w:rPr>
                <w:rFonts w:ascii="Arial" w:eastAsia="Times New Roman" w:hAnsi="Arial" w:cs="Arial"/>
                <w:sz w:val="18"/>
                <w:szCs w:val="18"/>
                <w:lang w:val="it-IT" w:eastAsia="en-IE"/>
              </w:rPr>
            </w:pPr>
            <w:r w:rsidRPr="00656794">
              <w:rPr>
                <w:rFonts w:ascii="Arial" w:hAnsi="Arial" w:cs="Arial"/>
                <w:sz w:val="18"/>
                <w:szCs w:val="18"/>
                <w:lang w:val="it-IT"/>
              </w:rPr>
              <w:t>Nuovo business mix negativo/perdita di margine</w:t>
            </w:r>
          </w:p>
        </w:tc>
      </w:tr>
      <w:tr w:rsidR="005E6F6A" w:rsidRPr="00656794" w14:paraId="5D7B2842" w14:textId="77777777" w:rsidTr="009D2427">
        <w:trPr>
          <w:trHeight w:val="2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5A6C2" w14:textId="3704CB0D" w:rsidR="005E6F6A" w:rsidRPr="00656794" w:rsidRDefault="005E6F6A" w:rsidP="005E6F6A">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Rischio reputazionale</w:t>
            </w:r>
          </w:p>
        </w:tc>
      </w:tr>
      <w:tr w:rsidR="005E6F6A" w:rsidRPr="00656794" w14:paraId="7E804008" w14:textId="77777777" w:rsidTr="009D2427">
        <w:trPr>
          <w:trHeight w:val="2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451BA" w14:textId="4F8491FD" w:rsidR="005E6F6A" w:rsidRPr="00656794" w:rsidRDefault="005E6F6A" w:rsidP="005E6F6A">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EIOPA Solvency II Review 2020</w:t>
            </w:r>
          </w:p>
        </w:tc>
      </w:tr>
      <w:tr w:rsidR="005E6F6A" w:rsidRPr="00656794" w14:paraId="4C36B0EC" w14:textId="77777777" w:rsidTr="009D2427">
        <w:trPr>
          <w:trHeight w:val="2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56F97" w14:textId="04D16EDB" w:rsidR="005E6F6A" w:rsidRPr="00656794" w:rsidRDefault="005E6F6A" w:rsidP="005E6F6A">
            <w:pPr>
              <w:spacing w:after="0" w:line="240" w:lineRule="auto"/>
              <w:ind w:left="121"/>
              <w:rPr>
                <w:rFonts w:ascii="Arial" w:eastAsia="Times New Roman" w:hAnsi="Arial" w:cs="Arial"/>
                <w:sz w:val="18"/>
                <w:szCs w:val="18"/>
                <w:lang w:val="it-IT" w:eastAsia="en-IE"/>
              </w:rPr>
            </w:pPr>
            <w:r w:rsidRPr="00656794">
              <w:rPr>
                <w:rFonts w:ascii="Arial" w:hAnsi="Arial" w:cs="Arial"/>
                <w:sz w:val="18"/>
                <w:szCs w:val="18"/>
                <w:lang w:val="it-IT"/>
              </w:rPr>
              <w:t>Rischio di diffusione</w:t>
            </w:r>
          </w:p>
        </w:tc>
      </w:tr>
      <w:tr w:rsidR="005E6F6A" w:rsidRPr="00B84464" w14:paraId="2AE7A19E" w14:textId="77777777" w:rsidTr="009D2427">
        <w:trPr>
          <w:trHeight w:val="2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E28FF" w14:textId="328DF5E0" w:rsidR="005E6F6A" w:rsidRPr="00656794" w:rsidRDefault="005E6F6A" w:rsidP="005E6F6A">
            <w:pPr>
              <w:spacing w:after="0" w:line="240" w:lineRule="auto"/>
              <w:ind w:left="130"/>
              <w:rPr>
                <w:rFonts w:ascii="Arial" w:eastAsia="Times New Roman" w:hAnsi="Arial" w:cs="Arial"/>
                <w:sz w:val="18"/>
                <w:szCs w:val="18"/>
                <w:lang w:val="it-IT" w:eastAsia="en-IE"/>
              </w:rPr>
            </w:pPr>
            <w:r w:rsidRPr="00656794">
              <w:rPr>
                <w:rFonts w:ascii="Arial" w:hAnsi="Arial" w:cs="Arial"/>
                <w:sz w:val="18"/>
                <w:szCs w:val="18"/>
                <w:lang w:val="it-IT"/>
              </w:rPr>
              <w:t>Rischio di tasso di interesse</w:t>
            </w:r>
          </w:p>
        </w:tc>
      </w:tr>
      <w:tr w:rsidR="005E6F6A" w:rsidRPr="00656794" w14:paraId="33D1CD53" w14:textId="77777777" w:rsidTr="009D2427">
        <w:trPr>
          <w:trHeight w:val="2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00238" w14:textId="2A49BEB9" w:rsidR="005E6F6A" w:rsidRPr="00656794" w:rsidRDefault="005E6F6A" w:rsidP="005E6F6A">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Rischio di mercato azionario</w:t>
            </w:r>
          </w:p>
        </w:tc>
      </w:tr>
    </w:tbl>
    <w:p w14:paraId="6D47EDBE" w14:textId="77777777" w:rsidR="00C8631C" w:rsidRPr="00656794" w:rsidRDefault="00C8631C" w:rsidP="009D2427">
      <w:pPr>
        <w:pStyle w:val="NormalWeb"/>
        <w:ind w:right="102"/>
        <w:jc w:val="both"/>
        <w:rPr>
          <w:rFonts w:ascii="Arial" w:hAnsi="Arial" w:cs="Arial"/>
          <w:color w:val="000000"/>
          <w:sz w:val="12"/>
          <w:szCs w:val="12"/>
          <w:lang w:val="it-IT"/>
        </w:rPr>
      </w:pPr>
      <w:r w:rsidRPr="00656794">
        <w:rPr>
          <w:rFonts w:ascii="Arial" w:hAnsi="Arial" w:cs="Arial"/>
          <w:color w:val="000000"/>
          <w:sz w:val="12"/>
          <w:szCs w:val="12"/>
          <w:lang w:val="it-IT"/>
        </w:rPr>
        <w:t>Fonte: Rapporto ORSA ZLAP 2020</w:t>
      </w:r>
    </w:p>
    <w:p w14:paraId="328B1A91" w14:textId="32C10E10"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 particolare, segnalo che,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della proiezione del caso base ORSA, ZLAP ha considerato il trasferimento del </w:t>
      </w:r>
      <w:r w:rsidR="00580879">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italiano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Tale proiezione presuppone che il trasferimento avvenga in anticipo rispetto alla fine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anno 2021. Data la materialità del </w:t>
      </w:r>
      <w:r w:rsidR="00580879">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italiano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rispetto al </w:t>
      </w:r>
      <w:r w:rsidR="00580879">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complessivo di ZLAP, gli impatti del trasferimento non sono stati significativi. Consentire il trasferimento ha fatto sì che i fondi propri siano rimasti invariati</w:t>
      </w:r>
      <w:r w:rsidR="00C8631C"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ma ha ridotto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di 7 milioni di euro, determinando un aumento complessivo della copertura di solvibilità del 2%. Si noti che questa proiezione era basata su un corrispettivo in contanti. La struttura finale del Corrispettivo prevede che ZLAP riceva azioni ZIL che saranno vendute a ZIC (</w:t>
      </w:r>
      <w:r w:rsidR="005A3D91">
        <w:rPr>
          <w:rFonts w:ascii="Arial" w:hAnsi="Arial" w:cs="Arial"/>
          <w:color w:val="000000"/>
          <w:sz w:val="20"/>
          <w:szCs w:val="20"/>
          <w:lang w:val="it-IT"/>
        </w:rPr>
        <w:t>Branch</w:t>
      </w:r>
      <w:r w:rsidRPr="00656794">
        <w:rPr>
          <w:rFonts w:ascii="Arial" w:hAnsi="Arial" w:cs="Arial"/>
          <w:color w:val="000000"/>
          <w:sz w:val="20"/>
          <w:szCs w:val="20"/>
          <w:lang w:val="it-IT"/>
        </w:rPr>
        <w:t xml:space="preserve"> Italia) non appena possibile.</w:t>
      </w:r>
    </w:p>
    <w:p w14:paraId="4A83D39A" w14:textId="6D1793E6" w:rsidR="009D2427" w:rsidRPr="00656794" w:rsidRDefault="009D2427" w:rsidP="009D2427">
      <w:pPr>
        <w:pStyle w:val="NormalWeb"/>
        <w:ind w:right="102"/>
        <w:jc w:val="both"/>
        <w:rPr>
          <w:rFonts w:ascii="Arial" w:hAnsi="Arial" w:cs="Arial"/>
          <w:b/>
          <w:bCs/>
          <w:color w:val="00338D"/>
          <w:sz w:val="28"/>
          <w:szCs w:val="28"/>
          <w:lang w:val="it-IT"/>
        </w:rPr>
      </w:pPr>
      <w:r w:rsidRPr="00656794">
        <w:rPr>
          <w:rFonts w:ascii="Arial" w:hAnsi="Arial" w:cs="Arial"/>
          <w:b/>
          <w:bCs/>
          <w:color w:val="00338D"/>
          <w:sz w:val="28"/>
          <w:szCs w:val="28"/>
          <w:lang w:val="it-IT"/>
        </w:rPr>
        <w:t xml:space="preserve">4.6 </w:t>
      </w:r>
      <w:r w:rsidR="00192B8C" w:rsidRPr="00656794">
        <w:rPr>
          <w:rFonts w:ascii="Arial" w:hAnsi="Arial" w:cs="Arial"/>
          <w:b/>
          <w:bCs/>
          <w:color w:val="00338D"/>
          <w:sz w:val="28"/>
          <w:szCs w:val="28"/>
          <w:lang w:val="it-IT"/>
        </w:rPr>
        <w:t>Accordi</w:t>
      </w:r>
      <w:r w:rsidR="008966C9" w:rsidRPr="00656794">
        <w:rPr>
          <w:rFonts w:ascii="Arial" w:hAnsi="Arial" w:cs="Arial"/>
          <w:b/>
          <w:bCs/>
          <w:color w:val="00338D"/>
          <w:sz w:val="28"/>
          <w:szCs w:val="28"/>
          <w:lang w:val="it-IT"/>
        </w:rPr>
        <w:t xml:space="preserve"> operativ</w:t>
      </w:r>
      <w:r w:rsidR="00192B8C" w:rsidRPr="00656794">
        <w:rPr>
          <w:rFonts w:ascii="Arial" w:hAnsi="Arial" w:cs="Arial"/>
          <w:b/>
          <w:bCs/>
          <w:color w:val="00338D"/>
          <w:sz w:val="28"/>
          <w:szCs w:val="28"/>
          <w:lang w:val="it-IT"/>
        </w:rPr>
        <w:t>i</w:t>
      </w:r>
    </w:p>
    <w:p w14:paraId="46F37F69" w14:textId="23EA3CB6"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maggior parte delle operazioni di ZLAP, e in particolare le sue operazioni di gestione chiave, sono svolte nei suoi uffici in Irlanda. Tuttavia, alcune attività critiche sono esternalizzate e la tabella che segue riassume questo aspetto.</w:t>
      </w:r>
    </w:p>
    <w:tbl>
      <w:tblPr>
        <w:tblW w:w="10348" w:type="dxa"/>
        <w:tblInd w:w="-577" w:type="dxa"/>
        <w:tblLayout w:type="fixed"/>
        <w:tblCellMar>
          <w:top w:w="15" w:type="dxa"/>
          <w:left w:w="15" w:type="dxa"/>
          <w:bottom w:w="15" w:type="dxa"/>
          <w:right w:w="15" w:type="dxa"/>
        </w:tblCellMar>
        <w:tblLook w:val="04A0" w:firstRow="1" w:lastRow="0" w:firstColumn="1" w:lastColumn="0" w:noHBand="0" w:noVBand="1"/>
      </w:tblPr>
      <w:tblGrid>
        <w:gridCol w:w="1418"/>
        <w:gridCol w:w="6662"/>
        <w:gridCol w:w="2268"/>
      </w:tblGrid>
      <w:tr w:rsidR="009D2427" w:rsidRPr="00656794" w14:paraId="235392BA" w14:textId="77777777" w:rsidTr="006924C4">
        <w:trPr>
          <w:trHeight w:val="338"/>
        </w:trPr>
        <w:tc>
          <w:tcPr>
            <w:tcW w:w="10348" w:type="dxa"/>
            <w:gridSpan w:val="3"/>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2D835B55" w14:textId="6363DF50" w:rsidR="009D2427" w:rsidRPr="00656794" w:rsidRDefault="00606E99" w:rsidP="006924C4">
            <w:pPr>
              <w:spacing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FFFFFF" w:themeColor="background1"/>
                <w:sz w:val="18"/>
                <w:szCs w:val="18"/>
                <w:lang w:val="it-IT" w:eastAsia="en-IE"/>
              </w:rPr>
              <w:t>Tabella 4.7: ZLAP Utilizzo dell</w:t>
            </w:r>
            <w:r w:rsidR="00F23A40" w:rsidRPr="00656794">
              <w:rPr>
                <w:rFonts w:ascii="Arial" w:eastAsia="Times New Roman" w:hAnsi="Arial" w:cs="Arial"/>
                <w:b/>
                <w:bCs/>
                <w:color w:val="FFFFFF" w:themeColor="background1"/>
                <w:sz w:val="18"/>
                <w:szCs w:val="18"/>
                <w:lang w:val="it-IT" w:eastAsia="en-IE"/>
              </w:rPr>
              <w:t>’</w:t>
            </w:r>
            <w:r w:rsidRPr="00656794">
              <w:rPr>
                <w:rFonts w:ascii="Arial" w:eastAsia="Times New Roman" w:hAnsi="Arial" w:cs="Arial"/>
                <w:b/>
                <w:bCs/>
                <w:color w:val="FFFFFF" w:themeColor="background1"/>
                <w:sz w:val="18"/>
                <w:szCs w:val="18"/>
                <w:lang w:val="it-IT" w:eastAsia="en-IE"/>
              </w:rPr>
              <w:t>outsourcing</w:t>
            </w:r>
          </w:p>
        </w:tc>
      </w:tr>
      <w:tr w:rsidR="009D2427" w:rsidRPr="00656794" w14:paraId="72290A9E" w14:textId="77777777" w:rsidTr="006924C4">
        <w:trPr>
          <w:trHeight w:val="433"/>
        </w:trPr>
        <w:tc>
          <w:tcPr>
            <w:tcW w:w="141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5D68A70F" w14:textId="15AE2D26" w:rsidR="009D2427" w:rsidRPr="00656794" w:rsidRDefault="00606E99" w:rsidP="006924C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lastRenderedPageBreak/>
              <w:t>Fornitore di servizi</w:t>
            </w:r>
            <w:r w:rsidR="009D2427" w:rsidRPr="00656794">
              <w:rPr>
                <w:rFonts w:ascii="Arial" w:eastAsia="Times New Roman" w:hAnsi="Arial" w:cs="Arial"/>
                <w:b/>
                <w:bCs/>
                <w:color w:val="000000"/>
                <w:sz w:val="18"/>
                <w:szCs w:val="18"/>
                <w:lang w:val="it-IT" w:eastAsia="en-IE"/>
              </w:rPr>
              <w:t> </w:t>
            </w:r>
          </w:p>
        </w:tc>
        <w:tc>
          <w:tcPr>
            <w:tcW w:w="6662"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12DDCCC2" w14:textId="10F23D9A" w:rsidR="009D2427" w:rsidRPr="00656794" w:rsidRDefault="00606E99" w:rsidP="006924C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Servizi forniti</w:t>
            </w:r>
            <w:r w:rsidR="009D2427" w:rsidRPr="00656794">
              <w:rPr>
                <w:rFonts w:ascii="Arial" w:eastAsia="Times New Roman" w:hAnsi="Arial" w:cs="Arial"/>
                <w:b/>
                <w:bCs/>
                <w:color w:val="000000"/>
                <w:sz w:val="18"/>
                <w:szCs w:val="18"/>
                <w:lang w:val="it-IT" w:eastAsia="en-IE"/>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6204EDF0" w14:textId="2BD0CC0F" w:rsidR="009D2427" w:rsidRPr="00656794" w:rsidRDefault="00606E99" w:rsidP="006924C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Giurisdizione</w:t>
            </w:r>
          </w:p>
        </w:tc>
      </w:tr>
      <w:tr w:rsidR="00F56881" w:rsidRPr="00867942" w14:paraId="40E5C9FE" w14:textId="77777777" w:rsidTr="007E3997">
        <w:trPr>
          <w:trHeight w:val="433"/>
        </w:trPr>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01B0F13" w14:textId="77777777" w:rsidR="00F56881" w:rsidRPr="00CB4C9C" w:rsidRDefault="00F56881" w:rsidP="007E3997">
            <w:pPr>
              <w:spacing w:after="0" w:line="360" w:lineRule="auto"/>
              <w:ind w:left="125"/>
              <w:rPr>
                <w:rFonts w:ascii="Arial" w:eastAsia="Times New Roman" w:hAnsi="Arial" w:cs="Arial"/>
                <w:color w:val="000000"/>
                <w:sz w:val="18"/>
                <w:szCs w:val="18"/>
                <w:lang w:eastAsia="en-IE"/>
              </w:rPr>
            </w:pPr>
            <w:r w:rsidRPr="00CB4C9C">
              <w:rPr>
                <w:rFonts w:ascii="Arial" w:eastAsia="Times New Roman" w:hAnsi="Arial" w:cs="Arial"/>
                <w:color w:val="000000"/>
                <w:sz w:val="18"/>
                <w:szCs w:val="18"/>
                <w:lang w:eastAsia="en-IE"/>
              </w:rPr>
              <w:t>Zurich Group</w:t>
            </w:r>
          </w:p>
          <w:p w14:paraId="1E869EEF" w14:textId="77777777" w:rsidR="00F56881" w:rsidRPr="00CB4C9C" w:rsidRDefault="00F56881" w:rsidP="007E3997">
            <w:pPr>
              <w:spacing w:after="0" w:line="360" w:lineRule="auto"/>
              <w:ind w:left="125"/>
              <w:rPr>
                <w:rFonts w:ascii="Arial" w:eastAsia="Times New Roman" w:hAnsi="Arial" w:cs="Arial"/>
                <w:color w:val="000000"/>
                <w:sz w:val="18"/>
                <w:szCs w:val="18"/>
                <w:lang w:eastAsia="en-IE"/>
              </w:rPr>
            </w:pPr>
            <w:r w:rsidRPr="00CB4C9C">
              <w:rPr>
                <w:rFonts w:ascii="Arial" w:eastAsia="Times New Roman" w:hAnsi="Arial" w:cs="Arial"/>
                <w:color w:val="000000"/>
                <w:sz w:val="18"/>
                <w:szCs w:val="18"/>
                <w:lang w:eastAsia="en-IE"/>
              </w:rPr>
              <w:t>Zurich Group</w:t>
            </w:r>
          </w:p>
          <w:p w14:paraId="5E674F35" w14:textId="77777777" w:rsidR="007E3997" w:rsidRPr="00CB4C9C" w:rsidRDefault="00F56881" w:rsidP="007E3997">
            <w:pPr>
              <w:spacing w:after="0" w:line="360" w:lineRule="auto"/>
              <w:ind w:left="125"/>
              <w:rPr>
                <w:rFonts w:ascii="Arial" w:eastAsia="Times New Roman" w:hAnsi="Arial" w:cs="Arial"/>
                <w:color w:val="000000"/>
                <w:sz w:val="18"/>
                <w:szCs w:val="18"/>
                <w:lang w:eastAsia="en-IE"/>
              </w:rPr>
            </w:pPr>
            <w:r w:rsidRPr="00CB4C9C">
              <w:rPr>
                <w:rFonts w:ascii="Arial" w:eastAsia="Times New Roman" w:hAnsi="Arial" w:cs="Arial"/>
                <w:color w:val="000000"/>
                <w:sz w:val="18"/>
                <w:szCs w:val="18"/>
                <w:lang w:eastAsia="en-IE"/>
              </w:rPr>
              <w:t xml:space="preserve">Zurich Group </w:t>
            </w:r>
          </w:p>
          <w:p w14:paraId="2FEBE242" w14:textId="7B5747B8" w:rsidR="00F56881" w:rsidRPr="00656794" w:rsidRDefault="00F56881"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Zurich Group</w:t>
            </w:r>
          </w:p>
          <w:p w14:paraId="1235AB0E" w14:textId="77777777" w:rsidR="00075AF7" w:rsidRPr="00656794" w:rsidRDefault="00075AF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Esterno</w:t>
            </w:r>
          </w:p>
          <w:p w14:paraId="754489D5" w14:textId="77777777" w:rsidR="007E3997" w:rsidRPr="00656794" w:rsidRDefault="00075AF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 xml:space="preserve">Esterno </w:t>
            </w:r>
          </w:p>
          <w:p w14:paraId="09563909" w14:textId="4955A26A" w:rsidR="00075AF7" w:rsidRPr="00656794" w:rsidRDefault="00075AF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Esterno</w:t>
            </w:r>
            <w:r w:rsidR="007E3997" w:rsidRPr="00656794">
              <w:rPr>
                <w:rFonts w:ascii="Arial" w:eastAsia="Times New Roman" w:hAnsi="Arial" w:cs="Arial"/>
                <w:color w:val="000000"/>
                <w:sz w:val="18"/>
                <w:szCs w:val="18"/>
                <w:lang w:val="it-IT" w:eastAsia="en-IE"/>
              </w:rPr>
              <w:t xml:space="preserve"> </w:t>
            </w:r>
          </w:p>
          <w:p w14:paraId="05263A17" w14:textId="77777777" w:rsidR="007E3997" w:rsidRPr="00656794" w:rsidRDefault="00075AF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 xml:space="preserve">Esterno </w:t>
            </w:r>
          </w:p>
          <w:p w14:paraId="60CAC7A0" w14:textId="77777777" w:rsidR="007E3997" w:rsidRPr="00656794" w:rsidRDefault="00075AF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Esterno</w:t>
            </w:r>
            <w:r w:rsidR="007E3997" w:rsidRPr="00656794">
              <w:rPr>
                <w:rFonts w:ascii="Arial" w:eastAsia="Times New Roman" w:hAnsi="Arial" w:cs="Arial"/>
                <w:color w:val="000000"/>
                <w:sz w:val="18"/>
                <w:szCs w:val="18"/>
                <w:lang w:val="it-IT" w:eastAsia="en-IE"/>
              </w:rPr>
              <w:t xml:space="preserve"> </w:t>
            </w:r>
            <w:r w:rsidRPr="00656794">
              <w:rPr>
                <w:rFonts w:ascii="Arial" w:eastAsia="Times New Roman" w:hAnsi="Arial" w:cs="Arial"/>
                <w:color w:val="000000"/>
                <w:sz w:val="18"/>
                <w:szCs w:val="18"/>
                <w:lang w:val="it-IT" w:eastAsia="en-IE"/>
              </w:rPr>
              <w:t xml:space="preserve"> </w:t>
            </w:r>
          </w:p>
          <w:p w14:paraId="1E028484" w14:textId="77777777" w:rsidR="007E3997" w:rsidRPr="00656794" w:rsidRDefault="00075AF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Esterno</w:t>
            </w:r>
            <w:r w:rsidR="007E3997" w:rsidRPr="00656794">
              <w:rPr>
                <w:rFonts w:ascii="Arial" w:eastAsia="Times New Roman" w:hAnsi="Arial" w:cs="Arial"/>
                <w:color w:val="000000"/>
                <w:sz w:val="18"/>
                <w:szCs w:val="18"/>
                <w:lang w:val="it-IT" w:eastAsia="en-IE"/>
              </w:rPr>
              <w:t xml:space="preserve"> </w:t>
            </w:r>
            <w:r w:rsidRPr="00656794">
              <w:rPr>
                <w:rFonts w:ascii="Arial" w:eastAsia="Times New Roman" w:hAnsi="Arial" w:cs="Arial"/>
                <w:color w:val="000000"/>
                <w:sz w:val="18"/>
                <w:szCs w:val="18"/>
                <w:lang w:val="it-IT" w:eastAsia="en-IE"/>
              </w:rPr>
              <w:t xml:space="preserve"> </w:t>
            </w:r>
          </w:p>
          <w:p w14:paraId="2F744251" w14:textId="77777777" w:rsidR="007E3997" w:rsidRPr="00656794" w:rsidRDefault="00075AF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 xml:space="preserve">Esterno </w:t>
            </w:r>
            <w:r w:rsidR="007E3997" w:rsidRPr="00656794">
              <w:rPr>
                <w:rFonts w:ascii="Arial" w:eastAsia="Times New Roman" w:hAnsi="Arial" w:cs="Arial"/>
                <w:color w:val="000000"/>
                <w:sz w:val="18"/>
                <w:szCs w:val="18"/>
                <w:lang w:val="it-IT" w:eastAsia="en-IE"/>
              </w:rPr>
              <w:t xml:space="preserve"> </w:t>
            </w:r>
          </w:p>
          <w:p w14:paraId="7A31461C" w14:textId="77777777" w:rsidR="007E3997" w:rsidRPr="00656794" w:rsidRDefault="00075AF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Esterno</w:t>
            </w:r>
            <w:r w:rsidR="007E3997" w:rsidRPr="00656794">
              <w:rPr>
                <w:rFonts w:ascii="Arial" w:eastAsia="Times New Roman" w:hAnsi="Arial" w:cs="Arial"/>
                <w:color w:val="000000"/>
                <w:sz w:val="18"/>
                <w:szCs w:val="18"/>
                <w:lang w:val="it-IT" w:eastAsia="en-IE"/>
              </w:rPr>
              <w:t xml:space="preserve"> </w:t>
            </w:r>
            <w:r w:rsidRPr="00656794">
              <w:rPr>
                <w:rFonts w:ascii="Arial" w:eastAsia="Times New Roman" w:hAnsi="Arial" w:cs="Arial"/>
                <w:color w:val="000000"/>
                <w:sz w:val="18"/>
                <w:szCs w:val="18"/>
                <w:lang w:val="it-IT" w:eastAsia="en-IE"/>
              </w:rPr>
              <w:t xml:space="preserve"> </w:t>
            </w:r>
          </w:p>
          <w:p w14:paraId="08248036" w14:textId="77777777" w:rsidR="007E3997" w:rsidRPr="00656794" w:rsidRDefault="00075AF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Esterno</w:t>
            </w:r>
            <w:r w:rsidR="007E3997" w:rsidRPr="00656794">
              <w:rPr>
                <w:rFonts w:ascii="Arial" w:eastAsia="Times New Roman" w:hAnsi="Arial" w:cs="Arial"/>
                <w:color w:val="000000"/>
                <w:sz w:val="18"/>
                <w:szCs w:val="18"/>
                <w:lang w:val="it-IT" w:eastAsia="en-IE"/>
              </w:rPr>
              <w:t xml:space="preserve"> </w:t>
            </w:r>
            <w:r w:rsidRPr="00656794">
              <w:rPr>
                <w:rFonts w:ascii="Arial" w:eastAsia="Times New Roman" w:hAnsi="Arial" w:cs="Arial"/>
                <w:color w:val="000000"/>
                <w:sz w:val="18"/>
                <w:szCs w:val="18"/>
                <w:lang w:val="it-IT" w:eastAsia="en-IE"/>
              </w:rPr>
              <w:t xml:space="preserve"> </w:t>
            </w:r>
          </w:p>
          <w:p w14:paraId="09E749D8" w14:textId="4F5B99B4" w:rsidR="00075AF7" w:rsidRPr="00656794" w:rsidRDefault="00075AF7" w:rsidP="007E3997">
            <w:pPr>
              <w:spacing w:after="0" w:line="360" w:lineRule="auto"/>
              <w:ind w:left="125"/>
              <w:rPr>
                <w:rFonts w:ascii="Arial" w:eastAsia="Times New Roman" w:hAnsi="Arial" w:cs="Arial"/>
                <w:b/>
                <w:bCs/>
                <w:color w:val="000000"/>
                <w:sz w:val="18"/>
                <w:szCs w:val="18"/>
                <w:shd w:val="clear" w:color="auto" w:fill="C0C0C0"/>
                <w:lang w:val="it-IT" w:eastAsia="en-IE"/>
              </w:rPr>
            </w:pPr>
            <w:r w:rsidRPr="00656794">
              <w:rPr>
                <w:rFonts w:ascii="Arial" w:eastAsia="Times New Roman" w:hAnsi="Arial" w:cs="Arial"/>
                <w:color w:val="000000"/>
                <w:sz w:val="18"/>
                <w:szCs w:val="18"/>
                <w:lang w:val="it-IT" w:eastAsia="en-IE"/>
              </w:rPr>
              <w:t>Esterno</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5D835" w14:textId="77777777"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Audizione interna</w:t>
            </w:r>
          </w:p>
          <w:p w14:paraId="2A046F61" w14:textId="4D75B181"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Gestione dell</w:t>
            </w:r>
            <w:r w:rsidR="00F23A40"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infrastruttura IT, supporto e manutenzione</w:t>
            </w:r>
          </w:p>
          <w:p w14:paraId="0731951D" w14:textId="33453EE0"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 xml:space="preserve">Servizi di amministrazione delle </w:t>
            </w:r>
            <w:r w:rsidR="00FA60F2">
              <w:rPr>
                <w:rFonts w:ascii="Arial" w:eastAsia="Times New Roman" w:hAnsi="Arial" w:cs="Arial"/>
                <w:color w:val="000000"/>
                <w:sz w:val="18"/>
                <w:szCs w:val="18"/>
                <w:lang w:val="it-IT" w:eastAsia="en-IE"/>
              </w:rPr>
              <w:t>polizze</w:t>
            </w:r>
            <w:r w:rsidRPr="00656794">
              <w:rPr>
                <w:rFonts w:ascii="Arial" w:eastAsia="Times New Roman" w:hAnsi="Arial" w:cs="Arial"/>
                <w:color w:val="000000"/>
                <w:sz w:val="18"/>
                <w:szCs w:val="18"/>
                <w:lang w:val="it-IT" w:eastAsia="en-IE"/>
              </w:rPr>
              <w:t xml:space="preserve"> per proposte svedesi e spagnole</w:t>
            </w:r>
          </w:p>
          <w:p w14:paraId="143227D8" w14:textId="0289E0A9"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 xml:space="preserve">Servizi di amministrazione delle </w:t>
            </w:r>
            <w:r w:rsidR="00FA60F2">
              <w:rPr>
                <w:rFonts w:ascii="Arial" w:eastAsia="Times New Roman" w:hAnsi="Arial" w:cs="Arial"/>
                <w:color w:val="000000"/>
                <w:sz w:val="18"/>
                <w:szCs w:val="18"/>
                <w:lang w:val="it-IT" w:eastAsia="en-IE"/>
              </w:rPr>
              <w:t>polizze</w:t>
            </w:r>
            <w:r w:rsidRPr="00656794">
              <w:rPr>
                <w:rFonts w:ascii="Arial" w:eastAsia="Times New Roman" w:hAnsi="Arial" w:cs="Arial"/>
                <w:color w:val="000000"/>
                <w:sz w:val="18"/>
                <w:szCs w:val="18"/>
                <w:lang w:val="it-IT" w:eastAsia="en-IE"/>
              </w:rPr>
              <w:t xml:space="preserve"> per proposte tedesche</w:t>
            </w:r>
          </w:p>
          <w:p w14:paraId="632F46AF" w14:textId="77777777"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Supporto e manutenzione delle applicazioni paghe</w:t>
            </w:r>
          </w:p>
          <w:p w14:paraId="27B790C6" w14:textId="0378223A"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 xml:space="preserve">Servizi di amministrazione delle </w:t>
            </w:r>
            <w:r w:rsidR="00FA60F2">
              <w:rPr>
                <w:rFonts w:ascii="Arial" w:eastAsia="Times New Roman" w:hAnsi="Arial" w:cs="Arial"/>
                <w:color w:val="000000"/>
                <w:sz w:val="18"/>
                <w:szCs w:val="18"/>
                <w:lang w:val="it-IT" w:eastAsia="en-IE"/>
              </w:rPr>
              <w:t>polizze</w:t>
            </w:r>
            <w:r w:rsidRPr="00656794">
              <w:rPr>
                <w:rFonts w:ascii="Arial" w:eastAsia="Times New Roman" w:hAnsi="Arial" w:cs="Arial"/>
                <w:color w:val="000000"/>
                <w:sz w:val="18"/>
                <w:szCs w:val="18"/>
                <w:lang w:val="it-IT" w:eastAsia="en-IE"/>
              </w:rPr>
              <w:t xml:space="preserve"> per le proposte del Regno Unito</w:t>
            </w:r>
          </w:p>
          <w:p w14:paraId="4839D6AB" w14:textId="77777777"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Alcuni servizi di gestione dei fondi</w:t>
            </w:r>
          </w:p>
          <w:p w14:paraId="6DED36AF" w14:textId="77777777"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Servizi di stampa, invio e gestione dei documenti</w:t>
            </w:r>
          </w:p>
          <w:p w14:paraId="4057CC3D" w14:textId="32C5C3F1"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 xml:space="preserve">Servizi di amministrazione delle </w:t>
            </w:r>
            <w:r w:rsidR="00FA60F2">
              <w:rPr>
                <w:rFonts w:ascii="Arial" w:eastAsia="Times New Roman" w:hAnsi="Arial" w:cs="Arial"/>
                <w:color w:val="000000"/>
                <w:sz w:val="18"/>
                <w:szCs w:val="18"/>
                <w:lang w:val="it-IT" w:eastAsia="en-IE"/>
              </w:rPr>
              <w:t>polizze</w:t>
            </w:r>
            <w:r w:rsidRPr="00656794">
              <w:rPr>
                <w:rFonts w:ascii="Arial" w:eastAsia="Times New Roman" w:hAnsi="Arial" w:cs="Arial"/>
                <w:color w:val="000000"/>
                <w:sz w:val="18"/>
                <w:szCs w:val="18"/>
                <w:lang w:val="it-IT" w:eastAsia="en-IE"/>
              </w:rPr>
              <w:t xml:space="preserve"> per proposte italiane e tedesche</w:t>
            </w:r>
          </w:p>
          <w:p w14:paraId="034312F6" w14:textId="77777777"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Supporto IT per software applicativo, supporto tecnico e consulenza</w:t>
            </w:r>
          </w:p>
          <w:p w14:paraId="3F3B0FD4" w14:textId="03F4B535"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Gestione dell</w:t>
            </w:r>
            <w:r w:rsidR="00F23A40"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infrastruttura IT, supporto e manutenzione</w:t>
            </w:r>
          </w:p>
          <w:p w14:paraId="57DB1527" w14:textId="77777777"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Supporto e manutenzione delle applicazioni per alcune applicazioni</w:t>
            </w:r>
          </w:p>
          <w:p w14:paraId="0AC7618C" w14:textId="77777777" w:rsidR="00417E0E" w:rsidRPr="00656794" w:rsidRDefault="00417E0E"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Alcuni servizi di gestione di fondi</w:t>
            </w:r>
          </w:p>
          <w:p w14:paraId="09089BAB" w14:textId="53E88FE7" w:rsidR="00F56881" w:rsidRPr="00656794" w:rsidRDefault="00417E0E" w:rsidP="007E3997">
            <w:pPr>
              <w:spacing w:after="0" w:line="360" w:lineRule="auto"/>
              <w:ind w:left="125"/>
              <w:rPr>
                <w:rFonts w:ascii="Arial" w:eastAsia="Times New Roman" w:hAnsi="Arial" w:cs="Arial"/>
                <w:b/>
                <w:bCs/>
                <w:color w:val="000000"/>
                <w:sz w:val="18"/>
                <w:szCs w:val="18"/>
                <w:shd w:val="clear" w:color="auto" w:fill="C0C0C0"/>
                <w:lang w:val="it-IT" w:eastAsia="en-IE"/>
              </w:rPr>
            </w:pPr>
            <w:r w:rsidRPr="00656794">
              <w:rPr>
                <w:rFonts w:ascii="Arial" w:eastAsia="Times New Roman" w:hAnsi="Arial" w:cs="Arial"/>
                <w:color w:val="000000"/>
                <w:sz w:val="18"/>
                <w:szCs w:val="18"/>
                <w:lang w:val="it-IT" w:eastAsia="en-IE"/>
              </w:rPr>
              <w:t>Supporto e manutenzione delle applicazioni per un</w:t>
            </w:r>
            <w:r w:rsidR="00F23A40" w:rsidRPr="00656794">
              <w:rPr>
                <w:rFonts w:ascii="Arial" w:eastAsia="Times New Roman" w:hAnsi="Arial" w:cs="Arial"/>
                <w:color w:val="000000"/>
                <w:sz w:val="18"/>
                <w:szCs w:val="18"/>
                <w:lang w:val="it-IT" w:eastAsia="en-IE"/>
              </w:rPr>
              <w:t>’</w:t>
            </w:r>
            <w:r w:rsidRPr="00656794">
              <w:rPr>
                <w:rFonts w:ascii="Arial" w:eastAsia="Times New Roman" w:hAnsi="Arial" w:cs="Arial"/>
                <w:color w:val="000000"/>
                <w:sz w:val="18"/>
                <w:szCs w:val="18"/>
                <w:lang w:val="it-IT" w:eastAsia="en-IE"/>
              </w:rPr>
              <w:t>applicazione di investimento</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D1B26" w14:textId="77777777" w:rsidR="00F56881" w:rsidRPr="00656794" w:rsidRDefault="00493878"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Svizzera</w:t>
            </w:r>
          </w:p>
          <w:p w14:paraId="4536F4F1" w14:textId="77777777" w:rsidR="00493878" w:rsidRPr="00656794" w:rsidRDefault="00493878"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Irlanda e svizzera</w:t>
            </w:r>
          </w:p>
          <w:p w14:paraId="4728B352" w14:textId="1B064CED" w:rsidR="00493878" w:rsidRPr="00656794" w:rsidRDefault="00493878"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Is</w:t>
            </w:r>
            <w:r w:rsidR="00DD6388">
              <w:rPr>
                <w:rFonts w:ascii="Arial" w:eastAsia="Times New Roman" w:hAnsi="Arial" w:cs="Arial"/>
                <w:color w:val="000000"/>
                <w:sz w:val="18"/>
                <w:szCs w:val="18"/>
                <w:lang w:val="it-IT" w:eastAsia="en-IE"/>
              </w:rPr>
              <w:t>ola di</w:t>
            </w:r>
            <w:r w:rsidRPr="00656794">
              <w:rPr>
                <w:rFonts w:ascii="Arial" w:eastAsia="Times New Roman" w:hAnsi="Arial" w:cs="Arial"/>
                <w:color w:val="000000"/>
                <w:sz w:val="18"/>
                <w:szCs w:val="18"/>
                <w:lang w:val="it-IT" w:eastAsia="en-IE"/>
              </w:rPr>
              <w:t xml:space="preserve"> Man</w:t>
            </w:r>
          </w:p>
          <w:p w14:paraId="1AC7F5AF" w14:textId="77777777" w:rsidR="00493878" w:rsidRPr="00656794" w:rsidRDefault="00493878"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Germania</w:t>
            </w:r>
          </w:p>
          <w:p w14:paraId="003E7301" w14:textId="77777777" w:rsidR="00493878" w:rsidRPr="00656794" w:rsidRDefault="00493878"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Irlanda</w:t>
            </w:r>
          </w:p>
          <w:p w14:paraId="563DC523" w14:textId="77777777" w:rsidR="00493878" w:rsidRPr="00656794" w:rsidRDefault="00493878"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Irlanda</w:t>
            </w:r>
          </w:p>
          <w:p w14:paraId="500127E0" w14:textId="77777777" w:rsidR="00493878" w:rsidRPr="00656794" w:rsidRDefault="00493878"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Irlanda e Germania</w:t>
            </w:r>
          </w:p>
          <w:p w14:paraId="4F23AB09" w14:textId="77777777" w:rsidR="00493878" w:rsidRPr="00656794" w:rsidRDefault="007E399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Irlanda</w:t>
            </w:r>
          </w:p>
          <w:p w14:paraId="3C954560" w14:textId="77777777" w:rsidR="007E3997" w:rsidRPr="00656794" w:rsidRDefault="007E399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 xml:space="preserve">Irlanda e Polonia </w:t>
            </w:r>
          </w:p>
          <w:p w14:paraId="19E5904B" w14:textId="77777777" w:rsidR="007E3997" w:rsidRPr="00656794" w:rsidRDefault="007E399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Italia</w:t>
            </w:r>
          </w:p>
          <w:p w14:paraId="5998D164" w14:textId="77777777" w:rsidR="007E3997" w:rsidRPr="00656794" w:rsidRDefault="007E399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Irlanda e Svizzera</w:t>
            </w:r>
          </w:p>
          <w:p w14:paraId="5CE9BD2B" w14:textId="77777777" w:rsidR="007E3997" w:rsidRPr="00656794" w:rsidRDefault="007E399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Irlanda e Svizzera</w:t>
            </w:r>
          </w:p>
          <w:p w14:paraId="3C39FD2D" w14:textId="77777777" w:rsidR="007E3997" w:rsidRPr="00656794" w:rsidRDefault="007E3997" w:rsidP="007E3997">
            <w:pPr>
              <w:spacing w:after="0" w:line="360" w:lineRule="auto"/>
              <w:ind w:left="125"/>
              <w:rPr>
                <w:rFonts w:ascii="Arial" w:eastAsia="Times New Roman" w:hAnsi="Arial" w:cs="Arial"/>
                <w:color w:val="000000"/>
                <w:sz w:val="18"/>
                <w:szCs w:val="18"/>
                <w:lang w:val="it-IT" w:eastAsia="en-IE"/>
              </w:rPr>
            </w:pPr>
            <w:r w:rsidRPr="00656794">
              <w:rPr>
                <w:rFonts w:ascii="Arial" w:eastAsia="Times New Roman" w:hAnsi="Arial" w:cs="Arial"/>
                <w:color w:val="000000"/>
                <w:sz w:val="18"/>
                <w:szCs w:val="18"/>
                <w:lang w:val="it-IT" w:eastAsia="en-IE"/>
              </w:rPr>
              <w:t>Irlanda</w:t>
            </w:r>
          </w:p>
          <w:p w14:paraId="2A48AB71" w14:textId="68E3C052" w:rsidR="007E3997" w:rsidRPr="00656794" w:rsidRDefault="007E3997" w:rsidP="007E3997">
            <w:pPr>
              <w:spacing w:after="0" w:line="360" w:lineRule="auto"/>
              <w:ind w:left="125"/>
              <w:rPr>
                <w:rFonts w:ascii="Arial" w:eastAsia="Times New Roman" w:hAnsi="Arial" w:cs="Arial"/>
                <w:b/>
                <w:bCs/>
                <w:color w:val="000000"/>
                <w:sz w:val="18"/>
                <w:szCs w:val="18"/>
                <w:shd w:val="clear" w:color="auto" w:fill="C0C0C0"/>
                <w:lang w:val="it-IT" w:eastAsia="en-IE"/>
              </w:rPr>
            </w:pPr>
            <w:r w:rsidRPr="00656794">
              <w:rPr>
                <w:rFonts w:ascii="Arial" w:eastAsia="Times New Roman" w:hAnsi="Arial" w:cs="Arial"/>
                <w:color w:val="000000"/>
                <w:sz w:val="18"/>
                <w:szCs w:val="18"/>
                <w:lang w:val="it-IT" w:eastAsia="en-IE"/>
              </w:rPr>
              <w:t>Regno Unito</w:t>
            </w:r>
          </w:p>
        </w:tc>
      </w:tr>
    </w:tbl>
    <w:p w14:paraId="61F261E3" w14:textId="77777777" w:rsidR="006172EE" w:rsidRPr="00656794" w:rsidRDefault="006172EE" w:rsidP="009D2427">
      <w:pPr>
        <w:pStyle w:val="NormalWeb"/>
        <w:ind w:right="102"/>
        <w:jc w:val="both"/>
        <w:rPr>
          <w:rFonts w:ascii="Arial" w:hAnsi="Arial" w:cs="Arial"/>
          <w:color w:val="000000"/>
          <w:sz w:val="12"/>
          <w:szCs w:val="12"/>
          <w:shd w:val="clear" w:color="auto" w:fill="FFFFFF"/>
          <w:lang w:val="it-IT"/>
        </w:rPr>
      </w:pPr>
      <w:r w:rsidRPr="00656794">
        <w:rPr>
          <w:rFonts w:ascii="Arial" w:hAnsi="Arial" w:cs="Arial"/>
          <w:color w:val="000000"/>
          <w:sz w:val="12"/>
          <w:szCs w:val="12"/>
          <w:shd w:val="clear" w:color="auto" w:fill="FFFFFF"/>
          <w:lang w:val="it-IT"/>
        </w:rPr>
        <w:t>Fonte: ZLAP 2020 SFCR</w:t>
      </w:r>
    </w:p>
    <w:p w14:paraId="5BDC9BD3" w14:textId="78866F09"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Per il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un punto chiave da notare è 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amministrazione di questo portafoglio di attività è esternalizzata a Capita, un fornitore in outsourcing di servizi amministrativi. Capita a sua volta fornisce i propri servizi tramite accordi di sub-outsourcing con altre entità del Gruppo Capita. Capita fornisce servizi di gestione delle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xml:space="preserve"> e di amministrazione per </w:t>
      </w:r>
      <w:r w:rsidR="008F4E06">
        <w:rPr>
          <w:rFonts w:ascii="Arial" w:hAnsi="Arial" w:cs="Arial"/>
          <w:color w:val="000000"/>
          <w:sz w:val="20"/>
          <w:szCs w:val="20"/>
          <w:lang w:val="it-IT"/>
        </w:rPr>
        <w:t>entrambe le componenti</w:t>
      </w:r>
      <w:r w:rsidRPr="00656794">
        <w:rPr>
          <w:rFonts w:ascii="Arial" w:hAnsi="Arial" w:cs="Arial"/>
          <w:color w:val="000000"/>
          <w:sz w:val="20"/>
          <w:szCs w:val="20"/>
          <w:lang w:val="it-IT"/>
        </w:rPr>
        <w:t xml:space="preserve">, </w:t>
      </w:r>
      <w:r w:rsidR="00526E24">
        <w:rPr>
          <w:rFonts w:ascii="Arial" w:hAnsi="Arial" w:cs="Arial"/>
          <w:color w:val="000000"/>
          <w:sz w:val="20"/>
          <w:szCs w:val="20"/>
          <w:lang w:val="it-IT"/>
        </w:rPr>
        <w:t>sotto</w:t>
      </w:r>
      <w:r w:rsidRPr="00656794">
        <w:rPr>
          <w:rFonts w:ascii="Arial" w:hAnsi="Arial" w:cs="Arial"/>
          <w:color w:val="000000"/>
          <w:sz w:val="20"/>
          <w:szCs w:val="20"/>
          <w:lang w:val="it-IT"/>
        </w:rPr>
        <w:t xml:space="preserve">scritti in </w:t>
      </w:r>
      <w:r w:rsidR="00526E24">
        <w:rPr>
          <w:rFonts w:ascii="Arial" w:hAnsi="Arial" w:cs="Arial"/>
          <w:color w:val="000000"/>
          <w:sz w:val="20"/>
          <w:szCs w:val="20"/>
          <w:lang w:val="it-IT"/>
        </w:rPr>
        <w:t xml:space="preserve">regime di </w:t>
      </w:r>
      <w:r w:rsidRPr="00656794">
        <w:rPr>
          <w:rFonts w:ascii="Arial" w:hAnsi="Arial" w:cs="Arial"/>
          <w:color w:val="000000"/>
          <w:sz w:val="20"/>
          <w:szCs w:val="20"/>
          <w:lang w:val="it-IT"/>
        </w:rPr>
        <w:t>libertà dei servizi e</w:t>
      </w:r>
      <w:r w:rsidR="00526E24">
        <w:rPr>
          <w:rFonts w:ascii="Arial" w:hAnsi="Arial" w:cs="Arial"/>
          <w:color w:val="000000"/>
          <w:sz w:val="20"/>
          <w:szCs w:val="20"/>
          <w:lang w:val="it-IT"/>
        </w:rPr>
        <w:t xml:space="preserve"> di</w:t>
      </w:r>
      <w:r w:rsidRPr="00656794">
        <w:rPr>
          <w:rFonts w:ascii="Arial" w:hAnsi="Arial" w:cs="Arial"/>
          <w:color w:val="000000"/>
          <w:sz w:val="20"/>
          <w:szCs w:val="20"/>
          <w:lang w:val="it-IT"/>
        </w:rPr>
        <w:t xml:space="preserve"> libertà di stabilimento.</w:t>
      </w:r>
    </w:p>
    <w:p w14:paraId="3952E71D" w14:textId="0B801575"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 servizi che Capita fornisce a ZLAP in relazione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amministrazione del portafoglio 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w:t>
      </w:r>
      <w:r w:rsidR="006924C4" w:rsidRPr="00656794">
        <w:rPr>
          <w:rFonts w:ascii="Arial" w:hAnsi="Arial" w:cs="Arial"/>
          <w:color w:val="000000"/>
          <w:sz w:val="20"/>
          <w:szCs w:val="20"/>
          <w:lang w:val="it-IT"/>
        </w:rPr>
        <w:t>comprendono</w:t>
      </w:r>
      <w:r w:rsidRPr="00656794">
        <w:rPr>
          <w:rFonts w:ascii="Arial" w:hAnsi="Arial" w:cs="Arial"/>
          <w:color w:val="000000"/>
          <w:sz w:val="20"/>
          <w:szCs w:val="20"/>
          <w:lang w:val="it-IT"/>
        </w:rPr>
        <w:t>:</w:t>
      </w:r>
    </w:p>
    <w:p w14:paraId="3C7907DF" w14:textId="77777777"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Servizi telefonici;</w:t>
      </w:r>
    </w:p>
    <w:p w14:paraId="0A2FC2AB" w14:textId="585EA55B"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Assistenza ai clienti e agli intermediari, inclusa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elaborazione di nuovi affari, assistenza alle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fidelizzazione dei clienti, gestione del denaro (ad esempio fatture, incassi, operazioni bancarie, pagamenti in uscita, riconciliazioni, recuperi) e reclami sui servizi; e</w:t>
      </w:r>
    </w:p>
    <w:p w14:paraId="654BC6A0" w14:textId="204823FB"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Supporto per il rischio di qualità e la conformità, incluso il supporto per la gestione del rischio operativo (come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implementazione di processi e il monitoraggio dei controlli), il supporto per la conformità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audit interno e la sicurezza delle informazioni e dei sistemi.</w:t>
      </w:r>
    </w:p>
    <w:p w14:paraId="6C27D57A" w14:textId="37887A5C"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ZLAP dispone di un quadro completo per monitorare le attività intraprese da Capita per suo conto. Numerose funzioni ZLAP collaborano regolarmente con Capita per garantire la qualità del servizio e la conformità a tutti i requisiti legali e normativi applicabili. Queste attività e impegni sono supportati da comitati per il controllo di gestione che fanno parte della struttura di governance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di ZLAP, in particolare il FOCC/PICC (Comitato Finanza, Operazioni e Conformità e Comitato Pianificazione, IT e Cambiamento), il RACC (Comitato Rischi, Audit e Controllo) e un JEM (Joint Executive Meeting) annuale, che comprende alti dirigenti e parti interessate di entrambe le parti.</w:t>
      </w:r>
    </w:p>
    <w:p w14:paraId="21E009D6" w14:textId="4DE5C506" w:rsidR="009D2427" w:rsidRPr="00656794" w:rsidRDefault="009D2427" w:rsidP="006172EE">
      <w:pPr>
        <w:spacing w:before="282"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4.7 </w:t>
      </w:r>
      <w:r w:rsidR="00526E24">
        <w:rPr>
          <w:rFonts w:ascii="Arial" w:eastAsia="Times New Roman" w:hAnsi="Arial" w:cs="Arial"/>
          <w:b/>
          <w:bCs/>
          <w:color w:val="00338D"/>
          <w:sz w:val="28"/>
          <w:szCs w:val="28"/>
          <w:lang w:val="it-IT" w:eastAsia="en-IE"/>
        </w:rPr>
        <w:t>A</w:t>
      </w:r>
      <w:r w:rsidR="00051FE2" w:rsidRPr="00656794">
        <w:rPr>
          <w:rFonts w:ascii="Arial" w:eastAsia="Times New Roman" w:hAnsi="Arial" w:cs="Arial"/>
          <w:b/>
          <w:bCs/>
          <w:color w:val="00338D"/>
          <w:sz w:val="28"/>
          <w:szCs w:val="28"/>
          <w:lang w:val="it-IT" w:eastAsia="en-IE"/>
        </w:rPr>
        <w:t>spettative</w:t>
      </w:r>
      <w:r w:rsidR="00526E24">
        <w:rPr>
          <w:rFonts w:ascii="Arial" w:eastAsia="Times New Roman" w:hAnsi="Arial" w:cs="Arial"/>
          <w:b/>
          <w:bCs/>
          <w:color w:val="00338D"/>
          <w:sz w:val="28"/>
          <w:szCs w:val="28"/>
          <w:lang w:val="it-IT" w:eastAsia="en-IE"/>
        </w:rPr>
        <w:t xml:space="preserve"> r</w:t>
      </w:r>
      <w:r w:rsidR="00526E24" w:rsidRPr="00656794">
        <w:rPr>
          <w:rFonts w:ascii="Arial" w:eastAsia="Times New Roman" w:hAnsi="Arial" w:cs="Arial"/>
          <w:b/>
          <w:bCs/>
          <w:color w:val="00338D"/>
          <w:sz w:val="28"/>
          <w:szCs w:val="28"/>
          <w:lang w:val="it-IT" w:eastAsia="en-IE"/>
        </w:rPr>
        <w:t xml:space="preserve">agionevoli </w:t>
      </w:r>
      <w:r w:rsidR="00051FE2" w:rsidRPr="00656794">
        <w:rPr>
          <w:rFonts w:ascii="Arial" w:eastAsia="Times New Roman" w:hAnsi="Arial" w:cs="Arial"/>
          <w:b/>
          <w:bCs/>
          <w:color w:val="00338D"/>
          <w:sz w:val="28"/>
          <w:szCs w:val="28"/>
          <w:lang w:val="it-IT" w:eastAsia="en-IE"/>
        </w:rPr>
        <w:t>del</w:t>
      </w:r>
      <w:r w:rsidR="009B3B1D" w:rsidRPr="00656794">
        <w:rPr>
          <w:rFonts w:ascii="Arial" w:eastAsia="Times New Roman" w:hAnsi="Arial" w:cs="Arial"/>
          <w:b/>
          <w:bCs/>
          <w:color w:val="00338D"/>
          <w:sz w:val="28"/>
          <w:szCs w:val="28"/>
          <w:lang w:val="it-IT" w:eastAsia="en-IE"/>
        </w:rPr>
        <w:t xml:space="preserve"> contraente</w:t>
      </w:r>
    </w:p>
    <w:p w14:paraId="3602E7B7" w14:textId="00EBE22F"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Per le entità di assicurazione sulla vita, sono tenuto a prendere in considerazione le linee guida emesse dalla Society of Actuaries in Irlanda in merito alle ragionevoli aspettative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lastRenderedPageBreak/>
        <w:t>(</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PRE</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ASP LA-6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Trasferimento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attività a lungo termine di una Compagnia di Assicurazione Autorizzata – Ruolo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Attuario Indipendente</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espone gli elementi da considerare al riguardo.</w:t>
      </w:r>
    </w:p>
    <w:p w14:paraId="28803811" w14:textId="100A225D"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Inoltre, prendo atto che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del nuovo regime Solvency II vi è un obbligo di legge per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HoAF degli enti di assicurazione sulla vita di considerare PRE come stabilito nella nota di orientamento della CBI intitolata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Domestic Attuarial Regime and Related Governance Requirements under Solvency II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Tenuto conto delle indicazioni e dei requisiti di cui sopra, considerata la considerazione dettagliata che lo ZLAP HoAF rivolge a PRE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 suo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xml:space="preserve"> annuale sulla funzione attuariale, e considerando le polizze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in trasferimento isolatamente, prendo atto che le considerazioni sono le seguenti:</w:t>
      </w:r>
    </w:p>
    <w:p w14:paraId="59F39CD2" w14:textId="02C45EE2"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I benefici derivanti dalle polizze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w:t>
      </w:r>
      <w:r w:rsidR="00B101BE">
        <w:rPr>
          <w:rFonts w:ascii="Arial" w:hAnsi="Arial" w:cs="Arial"/>
          <w:color w:val="000000"/>
          <w:sz w:val="20"/>
          <w:szCs w:val="20"/>
          <w:lang w:val="it-IT"/>
        </w:rPr>
        <w:t>in trasferimento</w:t>
      </w:r>
      <w:r w:rsidR="00B101BE"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sono semplici e sono determinati con riferimento al valore dei fondi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sottostanti.</w:t>
      </w:r>
    </w:p>
    <w:p w14:paraId="71D40A6A" w14:textId="24EF4F45"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Sicurezza delle prestazioni: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B101BE">
        <w:rPr>
          <w:rFonts w:ascii="Arial" w:hAnsi="Arial" w:cs="Arial"/>
          <w:color w:val="000000"/>
          <w:sz w:val="20"/>
          <w:szCs w:val="20"/>
          <w:lang w:val="it-IT"/>
        </w:rPr>
        <w:t xml:space="preserve">oggetto di trasferimento </w:t>
      </w:r>
      <w:r w:rsidR="00B101BE" w:rsidRPr="00656794">
        <w:rPr>
          <w:rFonts w:ascii="Arial" w:hAnsi="Arial" w:cs="Arial"/>
          <w:color w:val="000000"/>
          <w:sz w:val="20"/>
          <w:szCs w:val="20"/>
          <w:lang w:val="it-IT"/>
        </w:rPr>
        <w:t>hanno una ragionevole aspettativa</w:t>
      </w:r>
      <w:r w:rsidR="00B101BE">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che le loro prestazioni siano sicure e saranno pagate alla scadenza. Ciò dipenderà dai rischi a cui sono esposti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873B88">
        <w:rPr>
          <w:rFonts w:ascii="Arial" w:hAnsi="Arial" w:cs="Arial"/>
          <w:color w:val="000000"/>
          <w:sz w:val="20"/>
          <w:szCs w:val="20"/>
          <w:lang w:val="it-IT"/>
        </w:rPr>
        <w:t xml:space="preserve"> in perimetro per il trasferimento</w:t>
      </w:r>
      <w:r w:rsidRPr="00656794">
        <w:rPr>
          <w:rFonts w:ascii="Arial" w:hAnsi="Arial" w:cs="Arial"/>
          <w:color w:val="000000"/>
          <w:sz w:val="20"/>
          <w:szCs w:val="20"/>
          <w:lang w:val="it-IT"/>
        </w:rPr>
        <w:t xml:space="preserve"> prima e dopo il trasferimento, inclusa la relativa posizione finanziaria delle società.</w:t>
      </w:r>
    </w:p>
    <w:p w14:paraId="6EA07473" w14:textId="76352FF1"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Diritto alle prestazioni: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873B88">
        <w:rPr>
          <w:rFonts w:ascii="Arial" w:hAnsi="Arial" w:cs="Arial"/>
          <w:color w:val="000000"/>
          <w:sz w:val="20"/>
          <w:szCs w:val="20"/>
          <w:lang w:val="it-IT"/>
        </w:rPr>
        <w:t xml:space="preserve"> in perimetro per il trasferimento</w:t>
      </w:r>
      <w:r w:rsidRPr="00656794">
        <w:rPr>
          <w:rFonts w:ascii="Arial" w:hAnsi="Arial" w:cs="Arial"/>
          <w:color w:val="000000"/>
          <w:sz w:val="20"/>
          <w:szCs w:val="20"/>
          <w:lang w:val="it-IT"/>
        </w:rPr>
        <w:t xml:space="preserve"> </w:t>
      </w:r>
      <w:r w:rsidR="00B101BE" w:rsidRPr="00656794">
        <w:rPr>
          <w:rFonts w:ascii="Arial" w:hAnsi="Arial" w:cs="Arial"/>
          <w:color w:val="000000"/>
          <w:sz w:val="20"/>
          <w:szCs w:val="20"/>
          <w:lang w:val="it-IT"/>
        </w:rPr>
        <w:t xml:space="preserve">hanno una ragionevole aspettativa </w:t>
      </w:r>
      <w:r w:rsidRPr="00656794">
        <w:rPr>
          <w:rFonts w:ascii="Arial" w:hAnsi="Arial" w:cs="Arial"/>
          <w:color w:val="000000"/>
          <w:sz w:val="20"/>
          <w:szCs w:val="20"/>
          <w:lang w:val="it-IT"/>
        </w:rPr>
        <w:t xml:space="preserve">che i prelievi, i riscatti, la scadenza e le pretese di morte valide vengano pagate secondo le condizioni di polizza. Ho esaminato parte della documentazione del prodotto ZLAP e sono soddisfatto che non conferisca particolari aspettative ragionevoli aggiuntive oltre alle disposizioni contrattuali. Non sono a conoscenza di requisiti legislativi locali che conferiscano diritti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oltre a quelli previsti dalle condizioni della polizza.</w:t>
      </w:r>
    </w:p>
    <w:p w14:paraId="1CA04801" w14:textId="7EA06EAA"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Standard di servizio: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B54A6C">
        <w:rPr>
          <w:rFonts w:ascii="Arial" w:hAnsi="Arial" w:cs="Arial"/>
          <w:color w:val="000000"/>
          <w:sz w:val="20"/>
          <w:szCs w:val="20"/>
          <w:lang w:val="it-IT"/>
        </w:rPr>
        <w:t xml:space="preserve"> in perimetro di trasferimento</w:t>
      </w:r>
      <w:r w:rsidRPr="00656794">
        <w:rPr>
          <w:rFonts w:ascii="Arial" w:hAnsi="Arial" w:cs="Arial"/>
          <w:color w:val="000000"/>
          <w:sz w:val="20"/>
          <w:szCs w:val="20"/>
          <w:lang w:val="it-IT"/>
        </w:rPr>
        <w:t xml:space="preserve"> hanno una ragionevole aspettativa che i servizi che ricevono saranno forniti in modo professionale, che i reclami e le richieste saranno evasi prontamente.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amministrazione delle polizze e dei sinistri è attualmente affidata a Capita. La direzione di ZIL ha indicato che questo cambierà dopo il completamento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ho commentato più avanti nella relazione.</w:t>
      </w:r>
    </w:p>
    <w:p w14:paraId="77A9A4BA" w14:textId="7D5AD35B"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Poteri discrezionali a disposizione di ZLAP: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B54A6C">
        <w:rPr>
          <w:rFonts w:ascii="Arial" w:hAnsi="Arial" w:cs="Arial"/>
          <w:color w:val="000000"/>
          <w:sz w:val="20"/>
          <w:szCs w:val="20"/>
          <w:lang w:val="it-IT"/>
        </w:rPr>
        <w:t xml:space="preserve"> in perimetro di trasferimento</w:t>
      </w:r>
      <w:r w:rsidRPr="00656794">
        <w:rPr>
          <w:rFonts w:ascii="Arial" w:hAnsi="Arial" w:cs="Arial"/>
          <w:color w:val="000000"/>
          <w:sz w:val="20"/>
          <w:szCs w:val="20"/>
          <w:lang w:val="it-IT"/>
        </w:rPr>
        <w:t xml:space="preserve"> hanno una ragionevole aspettativa che qualsiasi discrezionalità a disposizione di ZLAP sarà applicata in modo equo e ragionevole.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uso della discrezionalità da parte di ZLAP è ragionevolmente limitato in quanto gli oneri riscossi e i benefici forniti sono stabiliti ne</w:t>
      </w:r>
      <w:r w:rsidR="0094302E">
        <w:rPr>
          <w:rFonts w:ascii="Arial" w:hAnsi="Arial" w:cs="Arial"/>
          <w:color w:val="000000"/>
          <w:sz w:val="20"/>
          <w:szCs w:val="20"/>
          <w:lang w:val="it-IT"/>
        </w:rPr>
        <w:t>lle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del contraente. Le scelte di fondo offerte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approccio al prezzo unitario consentono una certa </w:t>
      </w:r>
      <w:r w:rsidR="006172EE" w:rsidRPr="00656794">
        <w:rPr>
          <w:rFonts w:ascii="Arial" w:hAnsi="Arial" w:cs="Arial"/>
          <w:color w:val="000000"/>
          <w:sz w:val="20"/>
          <w:szCs w:val="20"/>
          <w:lang w:val="it-IT"/>
        </w:rPr>
        <w:t>discrezionalità; tuttavia,</w:t>
      </w:r>
      <w:r w:rsidRPr="00656794">
        <w:rPr>
          <w:rFonts w:ascii="Arial" w:hAnsi="Arial" w:cs="Arial"/>
          <w:color w:val="000000"/>
          <w:sz w:val="20"/>
          <w:szCs w:val="20"/>
          <w:lang w:val="it-IT"/>
        </w:rPr>
        <w:t xml:space="preserve"> la pratica è ben radicata su queste questioni in ZLAP. In relazione ai prodotti specifici, questi sono unit-linked con oneri definiti dal documento di polizza; le spese non sono rivedibili, quindi non c</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è discrezionalità dal lato delle spese. I benefici di rischio sui prodotti sono minori, quindi c</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è una discrezionalità molto limitata nel pagamento dei reclami.</w:t>
      </w:r>
    </w:p>
    <w:p w14:paraId="633A744B" w14:textId="6E9E62D7" w:rsidR="009D2427" w:rsidRPr="00656794" w:rsidRDefault="009D2427" w:rsidP="006172EE">
      <w:pPr>
        <w:spacing w:before="280"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4.8 </w:t>
      </w:r>
      <w:r w:rsidR="009B3B1D" w:rsidRPr="00656794">
        <w:rPr>
          <w:rFonts w:ascii="Arial" w:eastAsia="Times New Roman" w:hAnsi="Arial" w:cs="Arial"/>
          <w:b/>
          <w:bCs/>
          <w:color w:val="00338D"/>
          <w:sz w:val="28"/>
          <w:szCs w:val="28"/>
          <w:lang w:val="it-IT" w:eastAsia="en-IE"/>
        </w:rPr>
        <w:t>Reclami e contenziosi</w:t>
      </w:r>
      <w:r w:rsidRPr="00656794">
        <w:rPr>
          <w:rFonts w:ascii="Arial" w:eastAsia="Times New Roman" w:hAnsi="Arial" w:cs="Arial"/>
          <w:b/>
          <w:bCs/>
          <w:color w:val="00338D"/>
          <w:sz w:val="28"/>
          <w:szCs w:val="28"/>
          <w:lang w:val="it-IT" w:eastAsia="en-IE"/>
        </w:rPr>
        <w:t> </w:t>
      </w:r>
    </w:p>
    <w:p w14:paraId="22EC8F62" w14:textId="4FADB6D8"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ZLAP ha una procedura di reclamo consolidata, che è chiaramente indicata per i clienti sul suo sito web. I clienti possono presentare reclami per iscritto o per telefono e, una volta presentato un reclamo, ZLAP segue un processo definito, impegnandosi a rispondere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entro un determinato periodo di tempo.</w:t>
      </w:r>
    </w:p>
    <w:p w14:paraId="68456729" w14:textId="564C5C3A"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Come parte della mia </w:t>
      </w:r>
      <w:r w:rsidR="008C4663">
        <w:rPr>
          <w:rFonts w:ascii="Arial" w:hAnsi="Arial" w:cs="Arial"/>
          <w:color w:val="000000"/>
          <w:sz w:val="20"/>
          <w:szCs w:val="20"/>
          <w:lang w:val="it-IT"/>
        </w:rPr>
        <w:t>revisione</w:t>
      </w:r>
      <w:r w:rsidRPr="00656794">
        <w:rPr>
          <w:rFonts w:ascii="Arial" w:hAnsi="Arial" w:cs="Arial"/>
          <w:color w:val="000000"/>
          <w:sz w:val="20"/>
          <w:szCs w:val="20"/>
          <w:lang w:val="it-IT"/>
        </w:rPr>
        <w:t xml:space="preserve">, mi sono state fornite informazioni specifiche relative ai reclami storici e in corso associati al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Per quanto riguarda in particolare i reclami aperti, osservo che vi </w:t>
      </w:r>
      <w:r w:rsidR="00B101BE">
        <w:rPr>
          <w:rFonts w:ascii="Arial" w:hAnsi="Arial" w:cs="Arial"/>
          <w:color w:val="000000"/>
          <w:sz w:val="20"/>
          <w:szCs w:val="20"/>
          <w:lang w:val="it-IT"/>
        </w:rPr>
        <w:t>è</w:t>
      </w:r>
      <w:r w:rsidR="00B101BE"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solo un piccolo numero in sospeso </w:t>
      </w:r>
      <w:r w:rsidR="00B101BE">
        <w:rPr>
          <w:rFonts w:ascii="Arial" w:hAnsi="Arial" w:cs="Arial"/>
          <w:color w:val="000000"/>
          <w:sz w:val="20"/>
          <w:szCs w:val="20"/>
          <w:lang w:val="it-IT"/>
        </w:rPr>
        <w:t>che non</w:t>
      </w:r>
      <w:r w:rsidRPr="00656794">
        <w:rPr>
          <w:rFonts w:ascii="Arial" w:hAnsi="Arial" w:cs="Arial"/>
          <w:color w:val="000000"/>
          <w:sz w:val="20"/>
          <w:szCs w:val="20"/>
          <w:lang w:val="it-IT"/>
        </w:rPr>
        <w:t xml:space="preserve"> dovrebbe generare costi significativi o creare un precedente che potrebbe avere implicazioni per altri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AD0F9C">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w:t>
      </w:r>
    </w:p>
    <w:p w14:paraId="5F0E5C82" w14:textId="6BF671DE"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ZLAP ha confermato che non vi sono contenziosi rilevanti in relazione al portafoglio 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w:t>
      </w:r>
    </w:p>
    <w:p w14:paraId="68BFEC94" w14:textId="3B737C43" w:rsidR="009D2427" w:rsidRPr="00656794" w:rsidRDefault="009D2427" w:rsidP="009B3B1D">
      <w:pPr>
        <w:spacing w:before="272"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lastRenderedPageBreak/>
        <w:t xml:space="preserve">4.9 </w:t>
      </w:r>
      <w:r w:rsidR="009B3B1D" w:rsidRPr="00656794">
        <w:rPr>
          <w:rFonts w:ascii="Arial" w:eastAsia="Times New Roman" w:hAnsi="Arial" w:cs="Arial"/>
          <w:b/>
          <w:bCs/>
          <w:color w:val="00338D"/>
          <w:sz w:val="28"/>
          <w:szCs w:val="28"/>
          <w:lang w:val="it-IT" w:eastAsia="en-IE"/>
        </w:rPr>
        <w:t>Altre questioni regolamentari</w:t>
      </w:r>
      <w:r w:rsidRPr="00656794">
        <w:rPr>
          <w:rFonts w:ascii="Arial" w:eastAsia="Times New Roman" w:hAnsi="Arial" w:cs="Arial"/>
          <w:b/>
          <w:bCs/>
          <w:color w:val="00338D"/>
          <w:sz w:val="28"/>
          <w:szCs w:val="28"/>
          <w:lang w:val="it-IT" w:eastAsia="en-IE"/>
        </w:rPr>
        <w:t> </w:t>
      </w:r>
    </w:p>
    <w:p w14:paraId="25E3C734" w14:textId="4A1E1F3B" w:rsidR="009D2427" w:rsidRPr="00656794" w:rsidRDefault="009D2427" w:rsidP="009B3B1D">
      <w:pPr>
        <w:spacing w:before="138" w:after="0" w:line="240" w:lineRule="auto"/>
        <w:rPr>
          <w:rFonts w:ascii="Arial" w:eastAsia="Times New Roman" w:hAnsi="Arial" w:cs="Arial"/>
          <w:color w:val="00338D"/>
          <w:sz w:val="24"/>
          <w:szCs w:val="24"/>
          <w:lang w:val="it-IT" w:eastAsia="en-IE"/>
        </w:rPr>
      </w:pPr>
      <w:r w:rsidRPr="00656794">
        <w:rPr>
          <w:rFonts w:ascii="Arial" w:eastAsia="Times New Roman" w:hAnsi="Arial" w:cs="Arial"/>
          <w:color w:val="00338D"/>
          <w:sz w:val="24"/>
          <w:szCs w:val="24"/>
          <w:lang w:val="it-IT" w:eastAsia="en-IE"/>
        </w:rPr>
        <w:t xml:space="preserve">4.9.1 </w:t>
      </w:r>
      <w:r w:rsidR="009B3B1D" w:rsidRPr="00656794">
        <w:rPr>
          <w:rFonts w:ascii="Arial" w:eastAsia="Times New Roman" w:hAnsi="Arial" w:cs="Arial"/>
          <w:color w:val="00338D"/>
          <w:sz w:val="24"/>
          <w:szCs w:val="24"/>
          <w:lang w:val="it-IT" w:eastAsia="en-IE"/>
        </w:rPr>
        <w:t xml:space="preserve">Questioni </w:t>
      </w:r>
      <w:r w:rsidRPr="00656794">
        <w:rPr>
          <w:rFonts w:ascii="Arial" w:eastAsia="Times New Roman" w:hAnsi="Arial" w:cs="Arial"/>
          <w:color w:val="00338D"/>
          <w:sz w:val="24"/>
          <w:szCs w:val="24"/>
          <w:lang w:val="it-IT" w:eastAsia="en-IE"/>
        </w:rPr>
        <w:t>CBI </w:t>
      </w:r>
    </w:p>
    <w:p w14:paraId="3C181876" w14:textId="77777777" w:rsidR="009B3B1D"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Comprendo che ZLAP non ha problemi materiali con la CBI che potrebbero avere un impatto sul mio lavoro in questa fase. </w:t>
      </w:r>
    </w:p>
    <w:p w14:paraId="726C7A6D" w14:textId="00A103B6"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338D"/>
          <w:lang w:val="it-IT"/>
        </w:rPr>
        <w:t>4</w:t>
      </w:r>
      <w:r w:rsidRPr="00656794">
        <w:rPr>
          <w:rFonts w:ascii="Arial" w:hAnsi="Arial" w:cs="Arial"/>
          <w:color w:val="000000"/>
          <w:sz w:val="20"/>
          <w:szCs w:val="20"/>
          <w:lang w:val="it-IT"/>
        </w:rPr>
        <w:t>.</w:t>
      </w:r>
      <w:r w:rsidRPr="00656794">
        <w:rPr>
          <w:rFonts w:ascii="Arial" w:hAnsi="Arial" w:cs="Arial"/>
          <w:color w:val="00338D"/>
          <w:lang w:val="it-IT"/>
        </w:rPr>
        <w:t>9.2 Schemi di compensazione</w:t>
      </w:r>
    </w:p>
    <w:p w14:paraId="46A1A733" w14:textId="77777777"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 Irlanda non esistono regimi di compensazione specifici a livello di settore in relazione ai titolari di polizze assicurative sulla vita.</w:t>
      </w:r>
    </w:p>
    <w:p w14:paraId="42983641" w14:textId="77777777" w:rsidR="009D2427" w:rsidRPr="00656794" w:rsidRDefault="009D2427" w:rsidP="009D2427">
      <w:pPr>
        <w:pStyle w:val="NormalWeb"/>
        <w:ind w:right="102"/>
        <w:jc w:val="both"/>
        <w:rPr>
          <w:rFonts w:ascii="Arial" w:hAnsi="Arial" w:cs="Arial"/>
          <w:color w:val="00338D"/>
          <w:lang w:val="it-IT"/>
        </w:rPr>
      </w:pPr>
      <w:r w:rsidRPr="00656794">
        <w:rPr>
          <w:rFonts w:ascii="Arial" w:hAnsi="Arial" w:cs="Arial"/>
          <w:color w:val="00338D"/>
          <w:lang w:val="it-IT"/>
        </w:rPr>
        <w:t>4.9.3 Brexit</w:t>
      </w:r>
    </w:p>
    <w:p w14:paraId="64663693" w14:textId="77777777"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Il progetto PUMA è stato eseguito nel 2020 e ha trasferito un blocco di attività di ZLAP UK a Monument Life Insurance DAC. Da allora ZLAP non ha attività nel Regno Unito e non ha esposizioni verso controparti del Regno Unito e quindi non è stato direttamente influenzato dalla Brexit.</w:t>
      </w:r>
    </w:p>
    <w:p w14:paraId="5D3AF838" w14:textId="3B375D50"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Non sono a conoscenza di altre questioni normative.</w:t>
      </w:r>
    </w:p>
    <w:p w14:paraId="560399E8" w14:textId="63343CEF" w:rsidR="009D2427" w:rsidRPr="00656794" w:rsidRDefault="009D2427">
      <w:pPr>
        <w:rPr>
          <w:rFonts w:ascii="Arial" w:eastAsia="Times New Roman" w:hAnsi="Arial" w:cs="Arial"/>
          <w:color w:val="000000"/>
          <w:sz w:val="20"/>
          <w:szCs w:val="20"/>
          <w:lang w:val="it-IT" w:eastAsia="en-IE"/>
        </w:rPr>
      </w:pPr>
      <w:r w:rsidRPr="00656794">
        <w:rPr>
          <w:rFonts w:ascii="Arial" w:hAnsi="Arial" w:cs="Arial"/>
          <w:color w:val="000000"/>
          <w:sz w:val="20"/>
          <w:szCs w:val="20"/>
          <w:lang w:val="it-IT"/>
        </w:rPr>
        <w:br w:type="page"/>
      </w:r>
    </w:p>
    <w:p w14:paraId="2F6A9800" w14:textId="6B285143" w:rsidR="009D2427" w:rsidRPr="00656794" w:rsidRDefault="009D2427" w:rsidP="006924C4">
      <w:pPr>
        <w:spacing w:before="473"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56"/>
          <w:szCs w:val="56"/>
          <w:lang w:val="it-IT" w:eastAsia="en-IE"/>
        </w:rPr>
        <w:lastRenderedPageBreak/>
        <w:t xml:space="preserve">5 </w:t>
      </w:r>
      <w:r w:rsidR="00867942">
        <w:rPr>
          <w:rFonts w:ascii="Arial" w:eastAsia="Times New Roman" w:hAnsi="Arial" w:cs="Arial"/>
          <w:b/>
          <w:bCs/>
          <w:color w:val="00338D"/>
          <w:sz w:val="56"/>
          <w:szCs w:val="56"/>
          <w:lang w:val="it-IT" w:eastAsia="en-IE"/>
        </w:rPr>
        <w:t>L’</w:t>
      </w:r>
      <w:r w:rsidR="00AE4256">
        <w:rPr>
          <w:rFonts w:ascii="Arial" w:eastAsia="Times New Roman" w:hAnsi="Arial" w:cs="Arial"/>
          <w:b/>
          <w:bCs/>
          <w:color w:val="00338D"/>
          <w:sz w:val="56"/>
          <w:szCs w:val="56"/>
          <w:lang w:val="it-IT" w:eastAsia="en-IE"/>
        </w:rPr>
        <w:t>Atto di Trasferimento</w:t>
      </w:r>
      <w:r w:rsidR="00D83AA4" w:rsidRPr="00656794">
        <w:rPr>
          <w:rFonts w:ascii="Arial" w:eastAsia="Times New Roman" w:hAnsi="Arial" w:cs="Arial"/>
          <w:b/>
          <w:bCs/>
          <w:color w:val="00338D"/>
          <w:sz w:val="56"/>
          <w:szCs w:val="56"/>
          <w:lang w:val="it-IT" w:eastAsia="en-IE"/>
        </w:rPr>
        <w:t xml:space="preserve"> proposto</w:t>
      </w:r>
      <w:r w:rsidRPr="00656794">
        <w:rPr>
          <w:rFonts w:ascii="Arial" w:eastAsia="Times New Roman" w:hAnsi="Arial" w:cs="Arial"/>
          <w:b/>
          <w:bCs/>
          <w:color w:val="00338D"/>
          <w:sz w:val="56"/>
          <w:szCs w:val="56"/>
          <w:lang w:val="it-IT" w:eastAsia="en-IE"/>
        </w:rPr>
        <w:t> </w:t>
      </w:r>
    </w:p>
    <w:p w14:paraId="5D434633" w14:textId="61AD659E" w:rsidR="009B3B1D" w:rsidRPr="00656794" w:rsidRDefault="009D2427" w:rsidP="009D2427">
      <w:pPr>
        <w:pStyle w:val="NormalWeb"/>
        <w:ind w:right="102"/>
        <w:jc w:val="both"/>
        <w:rPr>
          <w:rFonts w:ascii="Arial" w:hAnsi="Arial" w:cs="Arial"/>
          <w:b/>
          <w:bCs/>
          <w:color w:val="00338D"/>
          <w:sz w:val="28"/>
          <w:szCs w:val="28"/>
          <w:lang w:val="it-IT"/>
        </w:rPr>
      </w:pPr>
      <w:r w:rsidRPr="00656794">
        <w:rPr>
          <w:rFonts w:ascii="Arial" w:hAnsi="Arial" w:cs="Arial"/>
          <w:b/>
          <w:bCs/>
          <w:color w:val="00338D"/>
          <w:sz w:val="28"/>
          <w:szCs w:val="28"/>
          <w:lang w:val="it-IT"/>
        </w:rPr>
        <w:t xml:space="preserve">5.1 </w:t>
      </w:r>
      <w:r w:rsidR="007C1129" w:rsidRPr="00656794">
        <w:rPr>
          <w:rFonts w:ascii="Arial" w:hAnsi="Arial" w:cs="Arial"/>
          <w:b/>
          <w:bCs/>
          <w:color w:val="00338D"/>
          <w:sz w:val="28"/>
          <w:szCs w:val="28"/>
          <w:lang w:val="it-IT"/>
        </w:rPr>
        <w:t>Contesto e motivazione del</w:t>
      </w:r>
      <w:r w:rsidR="00867942">
        <w:rPr>
          <w:rFonts w:ascii="Arial" w:hAnsi="Arial" w:cs="Arial"/>
          <w:b/>
          <w:bCs/>
          <w:color w:val="00338D"/>
          <w:sz w:val="28"/>
          <w:szCs w:val="28"/>
          <w:lang w:val="it-IT"/>
        </w:rPr>
        <w:t>l’</w:t>
      </w:r>
      <w:r w:rsidR="00AE4256">
        <w:rPr>
          <w:rFonts w:ascii="Arial" w:hAnsi="Arial" w:cs="Arial"/>
          <w:b/>
          <w:bCs/>
          <w:color w:val="00338D"/>
          <w:sz w:val="28"/>
          <w:szCs w:val="28"/>
          <w:lang w:val="it-IT"/>
        </w:rPr>
        <w:t>Atto di Trasferimento</w:t>
      </w:r>
      <w:r w:rsidR="007C1129" w:rsidRPr="00656794">
        <w:rPr>
          <w:rFonts w:ascii="Arial" w:hAnsi="Arial" w:cs="Arial"/>
          <w:b/>
          <w:bCs/>
          <w:color w:val="00338D"/>
          <w:sz w:val="28"/>
          <w:szCs w:val="28"/>
          <w:lang w:val="it-IT"/>
        </w:rPr>
        <w:t xml:space="preserve"> proposto</w:t>
      </w:r>
    </w:p>
    <w:p w14:paraId="68060643" w14:textId="78785003" w:rsidR="009D2427" w:rsidRPr="00656794" w:rsidRDefault="009D2427" w:rsidP="009D2427">
      <w:pPr>
        <w:pStyle w:val="NormalWeb"/>
        <w:ind w:right="102"/>
        <w:jc w:val="both"/>
        <w:rPr>
          <w:rFonts w:ascii="Arial" w:hAnsi="Arial" w:cs="Arial"/>
          <w:color w:val="00338D"/>
          <w:lang w:val="it-IT"/>
        </w:rPr>
      </w:pPr>
      <w:r w:rsidRPr="00656794">
        <w:rPr>
          <w:rFonts w:ascii="Arial" w:hAnsi="Arial" w:cs="Arial"/>
          <w:color w:val="00338D"/>
          <w:lang w:val="it-IT"/>
        </w:rPr>
        <w:t xml:space="preserve">5.1.1 </w:t>
      </w:r>
      <w:r w:rsidR="00A542F2" w:rsidRPr="00656794">
        <w:rPr>
          <w:rFonts w:ascii="Arial" w:hAnsi="Arial" w:cs="Arial"/>
          <w:color w:val="00338D"/>
          <w:lang w:val="it-IT"/>
        </w:rPr>
        <w:t xml:space="preserve">Motivazione per </w:t>
      </w:r>
      <w:r w:rsidR="00867942">
        <w:rPr>
          <w:rFonts w:ascii="Arial" w:hAnsi="Arial" w:cs="Arial"/>
          <w:color w:val="00338D"/>
          <w:lang w:val="it-IT"/>
        </w:rPr>
        <w:t>l’</w:t>
      </w:r>
      <w:r w:rsidR="00AE4256">
        <w:rPr>
          <w:rFonts w:ascii="Arial" w:hAnsi="Arial" w:cs="Arial"/>
          <w:color w:val="00338D"/>
          <w:lang w:val="it-IT"/>
        </w:rPr>
        <w:t>Atto di Trasferimento</w:t>
      </w:r>
      <w:r w:rsidR="00A542F2" w:rsidRPr="00656794">
        <w:rPr>
          <w:rFonts w:ascii="Arial" w:hAnsi="Arial" w:cs="Arial"/>
          <w:color w:val="00338D"/>
          <w:lang w:val="it-IT"/>
        </w:rPr>
        <w:t xml:space="preserve"> proposto</w:t>
      </w:r>
    </w:p>
    <w:p w14:paraId="45677814" w14:textId="0582BDCB"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Sebbene non sia una considerazione diretta per me come Attuario Indipendente, è comunque rilevante per me essere a conoscenza della logica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2D768137" w14:textId="3CFAE379"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ZLAP ha deciso di trasferire </w:t>
      </w:r>
      <w:r w:rsidR="00AC4CF1" w:rsidRPr="00AC4CF1">
        <w:rPr>
          <w:rFonts w:ascii="Arial" w:hAnsi="Arial" w:cs="Arial"/>
          <w:color w:val="000000"/>
          <w:sz w:val="20"/>
          <w:szCs w:val="20"/>
          <w:lang w:val="it-IT"/>
        </w:rPr>
        <w:t xml:space="preserve">il </w:t>
      </w:r>
      <w:r w:rsidR="00AC4CF1">
        <w:rPr>
          <w:rFonts w:ascii="Arial" w:hAnsi="Arial" w:cs="Arial"/>
          <w:color w:val="000000"/>
          <w:sz w:val="20"/>
          <w:szCs w:val="20"/>
          <w:lang w:val="it-IT"/>
        </w:rPr>
        <w:t xml:space="preserve">suo </w:t>
      </w:r>
      <w:r w:rsidR="00AC4CF1" w:rsidRPr="00AC4CF1">
        <w:rPr>
          <w:rFonts w:ascii="Arial" w:hAnsi="Arial" w:cs="Arial"/>
          <w:color w:val="000000"/>
          <w:sz w:val="20"/>
          <w:szCs w:val="20"/>
          <w:lang w:val="it-IT"/>
        </w:rPr>
        <w:t>portafoglio assicurativo italiano unit-linked</w:t>
      </w:r>
      <w:r w:rsidR="00AC4CF1" w:rsidRPr="00AC4CF1" w:rsidDel="00AC4CF1">
        <w:rPr>
          <w:rFonts w:ascii="Arial" w:hAnsi="Arial" w:cs="Arial"/>
          <w:color w:val="000000"/>
          <w:sz w:val="20"/>
          <w:szCs w:val="20"/>
          <w:lang w:val="it-IT"/>
        </w:rPr>
        <w:t xml:space="preserve"> </w:t>
      </w:r>
      <w:r w:rsidRPr="00656794">
        <w:rPr>
          <w:rFonts w:ascii="Arial" w:hAnsi="Arial" w:cs="Arial"/>
          <w:color w:val="000000"/>
          <w:sz w:val="20"/>
          <w:szCs w:val="20"/>
          <w:lang w:val="it-IT"/>
        </w:rPr>
        <w:t>in linea con la sua strategia (e la strategia del suo Gruppo) di cedere le attività assicurative non core e legacy e di concentrarsi sul mercato irlandese.</w:t>
      </w:r>
    </w:p>
    <w:p w14:paraId="3647EEAD" w14:textId="03453030"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La strategia di ZIL è quella di concentrarsi su prodotti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e ibridi allontanandosi dal business tradizionale a maggiore intensità di capitale e basso rendimento per gli azionisti. In quanto tale, il trasferimento del portafoglio si allinea con i piani strategici di ZIL per migliorare la sua esposizione alle attività </w:t>
      </w:r>
      <w:r w:rsidR="00FA60F2">
        <w:rPr>
          <w:rFonts w:ascii="Arial" w:hAnsi="Arial" w:cs="Arial"/>
          <w:color w:val="000000"/>
          <w:sz w:val="20"/>
          <w:szCs w:val="20"/>
          <w:lang w:val="it-IT"/>
        </w:rPr>
        <w:t>unit-linked</w:t>
      </w:r>
      <w:r w:rsidRPr="00656794">
        <w:rPr>
          <w:rFonts w:ascii="Arial" w:hAnsi="Arial" w:cs="Arial"/>
          <w:color w:val="000000"/>
          <w:sz w:val="20"/>
          <w:szCs w:val="20"/>
          <w:lang w:val="it-IT"/>
        </w:rPr>
        <w:t xml:space="preserve"> e alle potenziali economie di scala in termini di costi di gestione di questo portafoglio insieme alle attività </w:t>
      </w:r>
      <w:r w:rsidR="00FA60F2">
        <w:rPr>
          <w:rFonts w:ascii="Arial" w:hAnsi="Arial" w:cs="Arial"/>
          <w:color w:val="000000"/>
          <w:sz w:val="20"/>
          <w:szCs w:val="20"/>
          <w:lang w:val="it-IT"/>
        </w:rPr>
        <w:t>unit-linked</w:t>
      </w:r>
      <w:r w:rsidRPr="00656794">
        <w:rPr>
          <w:rFonts w:ascii="Arial" w:hAnsi="Arial" w:cs="Arial"/>
          <w:color w:val="000000"/>
          <w:sz w:val="20"/>
          <w:szCs w:val="20"/>
          <w:lang w:val="it-IT"/>
        </w:rPr>
        <w:t xml:space="preserve"> esistenti.</w:t>
      </w:r>
    </w:p>
    <w:p w14:paraId="009C3892" w14:textId="3C2A28A6" w:rsidR="009D2427" w:rsidRPr="00656794" w:rsidRDefault="009D2427" w:rsidP="009D2427">
      <w:pPr>
        <w:pStyle w:val="NormalWeb"/>
        <w:ind w:right="102"/>
        <w:jc w:val="both"/>
        <w:rPr>
          <w:rFonts w:ascii="Arial" w:hAnsi="Arial" w:cs="Arial"/>
          <w:color w:val="00338D"/>
          <w:lang w:val="it-IT"/>
        </w:rPr>
      </w:pPr>
      <w:r w:rsidRPr="00656794">
        <w:rPr>
          <w:rFonts w:ascii="Arial" w:hAnsi="Arial" w:cs="Arial"/>
          <w:color w:val="00338D"/>
          <w:lang w:val="it-IT"/>
        </w:rPr>
        <w:t xml:space="preserve">5.1.2 Panoramica </w:t>
      </w:r>
      <w:r w:rsidR="005B7BBB" w:rsidRPr="00656794">
        <w:rPr>
          <w:rFonts w:ascii="Arial" w:hAnsi="Arial" w:cs="Arial"/>
          <w:color w:val="00338D"/>
          <w:lang w:val="it-IT"/>
        </w:rPr>
        <w:t>del</w:t>
      </w:r>
      <w:r w:rsidR="00867942">
        <w:rPr>
          <w:rFonts w:ascii="Arial" w:hAnsi="Arial" w:cs="Arial"/>
          <w:color w:val="00338D"/>
          <w:lang w:val="it-IT"/>
        </w:rPr>
        <w:t>l’</w:t>
      </w:r>
      <w:r w:rsidR="00AE4256">
        <w:rPr>
          <w:rFonts w:ascii="Arial" w:hAnsi="Arial" w:cs="Arial"/>
          <w:color w:val="00338D"/>
          <w:lang w:val="it-IT"/>
        </w:rPr>
        <w:t>Atto di Trasferimento</w:t>
      </w:r>
      <w:r w:rsidRPr="00656794">
        <w:rPr>
          <w:rFonts w:ascii="Arial" w:hAnsi="Arial" w:cs="Arial"/>
          <w:color w:val="00338D"/>
          <w:lang w:val="it-IT"/>
        </w:rPr>
        <w:t xml:space="preserve"> proposto</w:t>
      </w:r>
    </w:p>
    <w:p w14:paraId="0432E4BA" w14:textId="3DA49DE0" w:rsidR="009D2427" w:rsidRPr="00656794" w:rsidRDefault="00867942" w:rsidP="009D2427">
      <w:pPr>
        <w:pStyle w:val="NormalWeb"/>
        <w:ind w:right="102"/>
        <w:jc w:val="both"/>
        <w:rPr>
          <w:rFonts w:ascii="Arial" w:hAnsi="Arial" w:cs="Arial"/>
          <w:color w:val="000000"/>
          <w:sz w:val="20"/>
          <w:szCs w:val="20"/>
          <w:lang w:val="it-IT"/>
        </w:rPr>
      </w:pPr>
      <w:r>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9D2427" w:rsidRPr="00656794">
        <w:rPr>
          <w:rFonts w:ascii="Arial" w:hAnsi="Arial" w:cs="Arial"/>
          <w:color w:val="000000"/>
          <w:sz w:val="20"/>
          <w:szCs w:val="20"/>
          <w:lang w:val="it-IT"/>
        </w:rPr>
        <w:t xml:space="preserve"> proposto prevede il trasferimento (la struttura sottostante dell</w:t>
      </w:r>
      <w:r w:rsidR="00F23A40" w:rsidRPr="00656794">
        <w:rPr>
          <w:rFonts w:ascii="Arial" w:hAnsi="Arial" w:cs="Arial"/>
          <w:color w:val="000000"/>
          <w:sz w:val="20"/>
          <w:szCs w:val="20"/>
          <w:lang w:val="it-IT"/>
        </w:rPr>
        <w:t>’</w:t>
      </w:r>
      <w:r w:rsidR="00A82666">
        <w:rPr>
          <w:rFonts w:ascii="Arial" w:hAnsi="Arial" w:cs="Arial"/>
          <w:color w:val="000000"/>
          <w:sz w:val="20"/>
          <w:szCs w:val="20"/>
          <w:lang w:val="it-IT"/>
        </w:rPr>
        <w:t>Atto di Trasferimento</w:t>
      </w:r>
      <w:r w:rsidR="009D2427" w:rsidRPr="00656794">
        <w:rPr>
          <w:rFonts w:ascii="Arial" w:hAnsi="Arial" w:cs="Arial"/>
          <w:color w:val="000000"/>
          <w:sz w:val="20"/>
          <w:szCs w:val="20"/>
          <w:lang w:val="it-IT"/>
        </w:rPr>
        <w:t xml:space="preserve"> è un conferimento </w:t>
      </w:r>
      <w:r w:rsidR="00A82666">
        <w:rPr>
          <w:rFonts w:ascii="Arial" w:hAnsi="Arial" w:cs="Arial"/>
          <w:color w:val="000000"/>
          <w:sz w:val="20"/>
          <w:szCs w:val="20"/>
          <w:lang w:val="it-IT"/>
        </w:rPr>
        <w:t xml:space="preserve">in natura di ramo d’azienda </w:t>
      </w:r>
      <w:r w:rsidR="009D2427" w:rsidRPr="00656794">
        <w:rPr>
          <w:rFonts w:ascii="Arial" w:hAnsi="Arial" w:cs="Arial"/>
          <w:color w:val="000000"/>
          <w:sz w:val="20"/>
          <w:szCs w:val="20"/>
          <w:lang w:val="it-IT"/>
        </w:rPr>
        <w:t>basato sulla continuità aziendale, come definito da entrambe le parti coinvolte nell</w:t>
      </w:r>
      <w:r w:rsidR="00F23A40" w:rsidRPr="00656794">
        <w:rPr>
          <w:rFonts w:ascii="Arial" w:hAnsi="Arial" w:cs="Arial"/>
          <w:color w:val="000000"/>
          <w:sz w:val="20"/>
          <w:szCs w:val="20"/>
          <w:lang w:val="it-IT"/>
        </w:rPr>
        <w:t>’</w:t>
      </w:r>
      <w:r w:rsidR="00A82666">
        <w:rPr>
          <w:rFonts w:ascii="Arial" w:hAnsi="Arial" w:cs="Arial"/>
          <w:color w:val="000000"/>
          <w:sz w:val="20"/>
          <w:szCs w:val="20"/>
          <w:lang w:val="it-IT"/>
        </w:rPr>
        <w:t>Atto di Trasferimento</w:t>
      </w:r>
      <w:r w:rsidR="009D2427" w:rsidRPr="00656794">
        <w:rPr>
          <w:rFonts w:ascii="Arial" w:hAnsi="Arial" w:cs="Arial"/>
          <w:color w:val="000000"/>
          <w:sz w:val="20"/>
          <w:szCs w:val="20"/>
          <w:lang w:val="it-IT"/>
        </w:rPr>
        <w:t xml:space="preserve">) delle polizze assicurative </w:t>
      </w:r>
      <w:r w:rsidR="008A525A" w:rsidRPr="00656794">
        <w:rPr>
          <w:rFonts w:ascii="Arial" w:hAnsi="Arial" w:cs="Arial"/>
          <w:color w:val="000000"/>
          <w:sz w:val="20"/>
          <w:szCs w:val="20"/>
          <w:lang w:val="it-IT"/>
        </w:rPr>
        <w:t>unit-linked</w:t>
      </w:r>
      <w:r w:rsidR="009D2427" w:rsidRPr="00656794">
        <w:rPr>
          <w:rFonts w:ascii="Arial" w:hAnsi="Arial" w:cs="Arial"/>
          <w:color w:val="000000"/>
          <w:sz w:val="20"/>
          <w:szCs w:val="20"/>
          <w:lang w:val="it-IT"/>
        </w:rPr>
        <w:t xml:space="preserve"> italiane di ZLAP per ordine </w:t>
      </w:r>
      <w:r w:rsidR="001A6FE8">
        <w:rPr>
          <w:rFonts w:ascii="Arial" w:hAnsi="Arial" w:cs="Arial"/>
          <w:color w:val="000000"/>
          <w:sz w:val="20"/>
          <w:szCs w:val="20"/>
          <w:lang w:val="it-IT"/>
        </w:rPr>
        <w:t>della High</w:t>
      </w:r>
      <w:r w:rsidR="00B9172D">
        <w:rPr>
          <w:rFonts w:ascii="Arial" w:hAnsi="Arial" w:cs="Arial"/>
          <w:color w:val="000000"/>
          <w:sz w:val="20"/>
          <w:szCs w:val="20"/>
          <w:lang w:val="it-IT"/>
        </w:rPr>
        <w:t xml:space="preserve"> Court of Ireland</w:t>
      </w:r>
      <w:r w:rsidR="009D2427" w:rsidRPr="00656794">
        <w:rPr>
          <w:rFonts w:ascii="Arial" w:hAnsi="Arial" w:cs="Arial"/>
          <w:color w:val="000000"/>
          <w:sz w:val="20"/>
          <w:szCs w:val="20"/>
          <w:lang w:val="it-IT"/>
        </w:rPr>
        <w:t xml:space="preserve">. Il </w:t>
      </w:r>
      <w:r w:rsidR="00580879">
        <w:rPr>
          <w:rFonts w:ascii="Arial" w:hAnsi="Arial" w:cs="Arial"/>
          <w:color w:val="000000"/>
          <w:sz w:val="20"/>
          <w:szCs w:val="20"/>
          <w:lang w:val="it-IT"/>
        </w:rPr>
        <w:t>portafoglio assicurativo</w:t>
      </w:r>
      <w:r w:rsidR="009D2427" w:rsidRPr="00656794">
        <w:rPr>
          <w:rFonts w:ascii="Arial" w:hAnsi="Arial" w:cs="Arial"/>
          <w:color w:val="000000"/>
          <w:sz w:val="20"/>
          <w:szCs w:val="20"/>
          <w:lang w:val="it-IT"/>
        </w:rPr>
        <w:t xml:space="preserve"> italiano </w:t>
      </w:r>
      <w:r w:rsidR="008A525A" w:rsidRPr="00656794">
        <w:rPr>
          <w:rFonts w:ascii="Arial" w:hAnsi="Arial" w:cs="Arial"/>
          <w:color w:val="000000"/>
          <w:sz w:val="20"/>
          <w:szCs w:val="20"/>
          <w:lang w:val="it-IT"/>
        </w:rPr>
        <w:t>unit-linked</w:t>
      </w:r>
      <w:r w:rsidR="009D2427" w:rsidRPr="00656794">
        <w:rPr>
          <w:rFonts w:ascii="Arial" w:hAnsi="Arial" w:cs="Arial"/>
          <w:color w:val="000000"/>
          <w:sz w:val="20"/>
          <w:szCs w:val="20"/>
          <w:lang w:val="it-IT"/>
        </w:rPr>
        <w:t xml:space="preserve"> si compone di due tranche di business, quello ceduto in </w:t>
      </w:r>
      <w:r w:rsidR="00422DB7">
        <w:rPr>
          <w:rFonts w:ascii="Arial" w:hAnsi="Arial" w:cs="Arial"/>
          <w:color w:val="000000"/>
          <w:sz w:val="20"/>
          <w:szCs w:val="20"/>
          <w:lang w:val="it-IT"/>
        </w:rPr>
        <w:t xml:space="preserve">regime di </w:t>
      </w:r>
      <w:r w:rsidR="00AC4CF1">
        <w:rPr>
          <w:rFonts w:ascii="Arial" w:hAnsi="Arial" w:cs="Arial"/>
          <w:color w:val="000000"/>
          <w:sz w:val="20"/>
          <w:szCs w:val="20"/>
          <w:lang w:val="it-IT"/>
        </w:rPr>
        <w:t>libera prestazione di servizi</w:t>
      </w:r>
      <w:r w:rsidR="009D2427" w:rsidRPr="00656794">
        <w:rPr>
          <w:rFonts w:ascii="Arial" w:hAnsi="Arial" w:cs="Arial"/>
          <w:color w:val="000000"/>
          <w:sz w:val="20"/>
          <w:szCs w:val="20"/>
          <w:lang w:val="it-IT"/>
        </w:rPr>
        <w:t xml:space="preserve">o con fondi in gestione di € 63 milioni e quello ceduto tramite la </w:t>
      </w:r>
      <w:r w:rsidR="005A3D91">
        <w:rPr>
          <w:rFonts w:ascii="Arial" w:hAnsi="Arial" w:cs="Arial"/>
          <w:color w:val="000000"/>
          <w:sz w:val="20"/>
          <w:szCs w:val="20"/>
          <w:lang w:val="it-IT"/>
        </w:rPr>
        <w:t>branch</w:t>
      </w:r>
      <w:r w:rsidR="009D2427" w:rsidRPr="00656794">
        <w:rPr>
          <w:rFonts w:ascii="Arial" w:hAnsi="Arial" w:cs="Arial"/>
          <w:color w:val="000000"/>
          <w:sz w:val="20"/>
          <w:szCs w:val="20"/>
          <w:lang w:val="it-IT"/>
        </w:rPr>
        <w:t xml:space="preserve"> italiana di ZLAP in regime di libertà di stabilimento con € 1,76 miliardi di fondi in </w:t>
      </w:r>
      <w:r w:rsidR="00A542F2" w:rsidRPr="00656794">
        <w:rPr>
          <w:rFonts w:ascii="Arial" w:hAnsi="Arial" w:cs="Arial"/>
          <w:color w:val="000000"/>
          <w:sz w:val="20"/>
          <w:szCs w:val="20"/>
          <w:lang w:val="it-IT"/>
        </w:rPr>
        <w:t>gestione,</w:t>
      </w:r>
      <w:r w:rsidR="009D2427" w:rsidRPr="00656794">
        <w:rPr>
          <w:rFonts w:ascii="Arial" w:hAnsi="Arial" w:cs="Arial"/>
          <w:color w:val="000000"/>
          <w:sz w:val="20"/>
          <w:szCs w:val="20"/>
          <w:lang w:val="it-IT"/>
        </w:rPr>
        <w:t xml:space="preserve"> collettivamente denominate </w:t>
      </w:r>
      <w:r w:rsidR="00580879">
        <w:rPr>
          <w:rFonts w:ascii="Arial" w:hAnsi="Arial" w:cs="Arial"/>
          <w:color w:val="000000"/>
          <w:sz w:val="20"/>
          <w:szCs w:val="20"/>
          <w:lang w:val="it-IT"/>
        </w:rPr>
        <w:t>Portafoglio assicurativo</w:t>
      </w:r>
      <w:r w:rsidR="009D2427" w:rsidRPr="00656794">
        <w:rPr>
          <w:rFonts w:ascii="Arial" w:hAnsi="Arial" w:cs="Arial"/>
          <w:color w:val="000000"/>
          <w:sz w:val="20"/>
          <w:szCs w:val="20"/>
          <w:lang w:val="it-IT"/>
        </w:rPr>
        <w:t xml:space="preserve"> italiano</w:t>
      </w:r>
      <w:r w:rsidR="009D3FDB">
        <w:rPr>
          <w:rFonts w:ascii="Arial" w:hAnsi="Arial" w:cs="Arial"/>
          <w:color w:val="000000"/>
          <w:sz w:val="20"/>
          <w:szCs w:val="20"/>
          <w:lang w:val="it-IT"/>
        </w:rPr>
        <w:t xml:space="preserve"> </w:t>
      </w:r>
      <w:r w:rsidR="009D3FDB" w:rsidRPr="00656794">
        <w:rPr>
          <w:rFonts w:ascii="Arial" w:hAnsi="Arial" w:cs="Arial"/>
          <w:color w:val="000000"/>
          <w:sz w:val="20"/>
          <w:szCs w:val="20"/>
          <w:lang w:val="it-IT"/>
        </w:rPr>
        <w:t>Unit-linked</w:t>
      </w:r>
      <w:r w:rsidR="009D2427" w:rsidRPr="00656794">
        <w:rPr>
          <w:rFonts w:ascii="Arial" w:hAnsi="Arial" w:cs="Arial"/>
          <w:color w:val="000000"/>
          <w:sz w:val="20"/>
          <w:szCs w:val="20"/>
          <w:lang w:val="it-IT"/>
        </w:rPr>
        <w:t xml:space="preserve">. Il trasferimento delle polizze assicurative ZLAP a ZIL sarà completato in base alle disposizioni della Sezione 13 </w:t>
      </w:r>
      <w:r w:rsidR="00C42014">
        <w:rPr>
          <w:rFonts w:ascii="Arial" w:hAnsi="Arial" w:cs="Arial"/>
          <w:color w:val="000000"/>
          <w:sz w:val="20"/>
          <w:szCs w:val="20"/>
          <w:lang w:val="it-IT"/>
        </w:rPr>
        <w:t>della Legge 1909 delle Imprese di Assicurazione</w:t>
      </w:r>
      <w:r w:rsidR="009D2427" w:rsidRPr="00656794">
        <w:rPr>
          <w:rFonts w:ascii="Arial" w:hAnsi="Arial" w:cs="Arial"/>
          <w:color w:val="000000"/>
          <w:sz w:val="20"/>
          <w:szCs w:val="20"/>
          <w:lang w:val="it-IT"/>
        </w:rPr>
        <w:t xml:space="preserve">, della Sezione 36 </w:t>
      </w:r>
      <w:r w:rsidR="00C42014">
        <w:rPr>
          <w:rFonts w:ascii="Arial" w:hAnsi="Arial" w:cs="Arial"/>
          <w:color w:val="000000"/>
          <w:sz w:val="20"/>
          <w:szCs w:val="20"/>
          <w:lang w:val="it-IT"/>
        </w:rPr>
        <w:t>della Legge 1989 sulle Assicurazioni</w:t>
      </w:r>
      <w:r w:rsidR="009D2427" w:rsidRPr="00656794">
        <w:rPr>
          <w:rFonts w:ascii="Arial" w:hAnsi="Arial" w:cs="Arial"/>
          <w:color w:val="000000"/>
          <w:sz w:val="20"/>
          <w:szCs w:val="20"/>
          <w:lang w:val="it-IT"/>
        </w:rPr>
        <w:t xml:space="preserve"> e del Regolamento 41 dell</w:t>
      </w:r>
      <w:r w:rsidR="00F23A40" w:rsidRPr="00656794">
        <w:rPr>
          <w:rFonts w:ascii="Arial" w:hAnsi="Arial" w:cs="Arial"/>
          <w:color w:val="000000"/>
          <w:sz w:val="20"/>
          <w:szCs w:val="20"/>
          <w:lang w:val="it-IT"/>
        </w:rPr>
        <w:t>’</w:t>
      </w:r>
      <w:r w:rsidR="009D2427" w:rsidRPr="00656794">
        <w:rPr>
          <w:rFonts w:ascii="Arial" w:hAnsi="Arial" w:cs="Arial"/>
          <w:color w:val="000000"/>
          <w:sz w:val="20"/>
          <w:szCs w:val="20"/>
          <w:lang w:val="it-IT"/>
        </w:rPr>
        <w:t>Unione Europea (</w:t>
      </w:r>
      <w:r w:rsidR="00C42014">
        <w:rPr>
          <w:rFonts w:ascii="Arial" w:hAnsi="Arial" w:cs="Arial"/>
          <w:color w:val="000000"/>
          <w:sz w:val="20"/>
          <w:szCs w:val="20"/>
          <w:lang w:val="it-IT"/>
        </w:rPr>
        <w:t>Assicurazioni e Riassicurazioni</w:t>
      </w:r>
      <w:r w:rsidR="009D2427" w:rsidRPr="00656794">
        <w:rPr>
          <w:rFonts w:ascii="Arial" w:hAnsi="Arial" w:cs="Arial"/>
          <w:color w:val="000000"/>
          <w:sz w:val="20"/>
          <w:szCs w:val="20"/>
          <w:lang w:val="it-IT"/>
        </w:rPr>
        <w:t xml:space="preserve">) </w:t>
      </w:r>
      <w:r w:rsidR="00C42014">
        <w:rPr>
          <w:rFonts w:ascii="Arial" w:hAnsi="Arial" w:cs="Arial"/>
          <w:color w:val="000000"/>
          <w:sz w:val="20"/>
          <w:szCs w:val="20"/>
          <w:lang w:val="it-IT"/>
        </w:rPr>
        <w:t>del</w:t>
      </w:r>
      <w:r w:rsidR="00C42014" w:rsidRPr="00656794">
        <w:rPr>
          <w:rFonts w:ascii="Arial" w:hAnsi="Arial" w:cs="Arial"/>
          <w:color w:val="000000"/>
          <w:sz w:val="20"/>
          <w:szCs w:val="20"/>
          <w:lang w:val="it-IT"/>
        </w:rPr>
        <w:t xml:space="preserve"> </w:t>
      </w:r>
      <w:r w:rsidR="009D2427" w:rsidRPr="00656794">
        <w:rPr>
          <w:rFonts w:ascii="Arial" w:hAnsi="Arial" w:cs="Arial"/>
          <w:color w:val="000000"/>
          <w:sz w:val="20"/>
          <w:szCs w:val="20"/>
          <w:lang w:val="it-IT"/>
        </w:rPr>
        <w:t xml:space="preserve">2015. </w:t>
      </w:r>
      <w:r>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9D2427" w:rsidRPr="00656794">
        <w:rPr>
          <w:rFonts w:ascii="Arial" w:hAnsi="Arial" w:cs="Arial"/>
          <w:color w:val="000000"/>
          <w:sz w:val="20"/>
          <w:szCs w:val="20"/>
          <w:lang w:val="it-IT"/>
        </w:rPr>
        <w:t xml:space="preserve"> prevede per il trasferimento delle polizze assicurative </w:t>
      </w:r>
      <w:r w:rsidR="008A525A" w:rsidRPr="00656794">
        <w:rPr>
          <w:rFonts w:ascii="Arial" w:hAnsi="Arial" w:cs="Arial"/>
          <w:color w:val="000000"/>
          <w:sz w:val="20"/>
          <w:szCs w:val="20"/>
          <w:lang w:val="it-IT"/>
        </w:rPr>
        <w:t>unit-linked</w:t>
      </w:r>
      <w:r w:rsidR="009D2427" w:rsidRPr="00656794">
        <w:rPr>
          <w:rFonts w:ascii="Arial" w:hAnsi="Arial" w:cs="Arial"/>
          <w:color w:val="000000"/>
          <w:sz w:val="20"/>
          <w:szCs w:val="20"/>
          <w:lang w:val="it-IT"/>
        </w:rPr>
        <w:t xml:space="preserve"> ZLAP italiane, incorporanti i contratti assicurativi sottostanti, insieme alle relative passività e attività </w:t>
      </w:r>
      <w:r w:rsidR="008A525A" w:rsidRPr="00656794">
        <w:rPr>
          <w:rFonts w:ascii="Arial" w:hAnsi="Arial" w:cs="Arial"/>
          <w:color w:val="000000"/>
          <w:sz w:val="20"/>
          <w:szCs w:val="20"/>
          <w:lang w:val="it-IT"/>
        </w:rPr>
        <w:t>unit-linked</w:t>
      </w:r>
      <w:r w:rsidR="009D2427" w:rsidRPr="00656794">
        <w:rPr>
          <w:rFonts w:ascii="Arial" w:hAnsi="Arial" w:cs="Arial"/>
          <w:color w:val="000000"/>
          <w:sz w:val="20"/>
          <w:szCs w:val="20"/>
          <w:lang w:val="it-IT"/>
        </w:rPr>
        <w:t xml:space="preserve"> alla </w:t>
      </w:r>
      <w:r w:rsidR="00DB414C">
        <w:rPr>
          <w:rFonts w:ascii="Arial" w:hAnsi="Arial" w:cs="Arial"/>
          <w:color w:val="000000"/>
          <w:sz w:val="20"/>
          <w:szCs w:val="20"/>
          <w:lang w:val="it-IT"/>
        </w:rPr>
        <w:t>Data di trasferimento effettiva</w:t>
      </w:r>
      <w:r w:rsidR="009D2427" w:rsidRPr="00656794">
        <w:rPr>
          <w:rFonts w:ascii="Arial" w:hAnsi="Arial" w:cs="Arial"/>
          <w:color w:val="000000"/>
          <w:sz w:val="20"/>
          <w:szCs w:val="20"/>
          <w:lang w:val="it-IT"/>
        </w:rPr>
        <w:t xml:space="preserve"> a ZIL, in modo tale che le passività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9D2427"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009D2427" w:rsidRPr="00656794">
        <w:rPr>
          <w:rFonts w:ascii="Arial" w:hAnsi="Arial" w:cs="Arial"/>
          <w:color w:val="000000"/>
          <w:sz w:val="20"/>
          <w:szCs w:val="20"/>
          <w:lang w:val="it-IT"/>
        </w:rPr>
        <w:t xml:space="preserve"> italiane ZLAP siano estinte. Il trasferimento include attività </w:t>
      </w:r>
      <w:r w:rsidR="009D3FDB">
        <w:rPr>
          <w:rFonts w:ascii="Arial" w:hAnsi="Arial" w:cs="Arial"/>
          <w:color w:val="000000"/>
          <w:sz w:val="20"/>
          <w:szCs w:val="20"/>
          <w:lang w:val="it-IT"/>
        </w:rPr>
        <w:t>sotto</w:t>
      </w:r>
      <w:r w:rsidR="009D2427" w:rsidRPr="00656794">
        <w:rPr>
          <w:rFonts w:ascii="Arial" w:hAnsi="Arial" w:cs="Arial"/>
          <w:color w:val="000000"/>
          <w:sz w:val="20"/>
          <w:szCs w:val="20"/>
          <w:lang w:val="it-IT"/>
        </w:rPr>
        <w:t>scritte in</w:t>
      </w:r>
      <w:r w:rsidR="009D3FDB">
        <w:rPr>
          <w:rFonts w:ascii="Arial" w:hAnsi="Arial" w:cs="Arial"/>
          <w:color w:val="000000"/>
          <w:sz w:val="20"/>
          <w:szCs w:val="20"/>
          <w:lang w:val="it-IT"/>
        </w:rPr>
        <w:t xml:space="preserve"> regime</w:t>
      </w:r>
      <w:r w:rsidR="009D2427" w:rsidRPr="00656794">
        <w:rPr>
          <w:rFonts w:ascii="Arial" w:hAnsi="Arial" w:cs="Arial"/>
          <w:color w:val="000000"/>
          <w:sz w:val="20"/>
          <w:szCs w:val="20"/>
          <w:lang w:val="it-IT"/>
        </w:rPr>
        <w:t xml:space="preserve"> sia </w:t>
      </w:r>
      <w:r w:rsidR="009D3FDB">
        <w:rPr>
          <w:rFonts w:ascii="Arial" w:hAnsi="Arial" w:cs="Arial"/>
          <w:color w:val="000000"/>
          <w:sz w:val="20"/>
          <w:szCs w:val="20"/>
          <w:lang w:val="it-IT"/>
        </w:rPr>
        <w:t>di</w:t>
      </w:r>
      <w:r w:rsidR="009D2427" w:rsidRPr="00656794">
        <w:rPr>
          <w:rFonts w:ascii="Arial" w:hAnsi="Arial" w:cs="Arial"/>
          <w:color w:val="000000"/>
          <w:sz w:val="20"/>
          <w:szCs w:val="20"/>
          <w:lang w:val="it-IT"/>
        </w:rPr>
        <w:t xml:space="preserve"> libertà di stabilimento che </w:t>
      </w:r>
      <w:r w:rsidR="009D3FDB">
        <w:rPr>
          <w:rFonts w:ascii="Arial" w:hAnsi="Arial" w:cs="Arial"/>
          <w:color w:val="000000"/>
          <w:sz w:val="20"/>
          <w:szCs w:val="20"/>
          <w:lang w:val="it-IT"/>
        </w:rPr>
        <w:t xml:space="preserve">di </w:t>
      </w:r>
      <w:r w:rsidR="009D2427" w:rsidRPr="00656794">
        <w:rPr>
          <w:rFonts w:ascii="Arial" w:hAnsi="Arial" w:cs="Arial"/>
          <w:color w:val="000000"/>
          <w:sz w:val="20"/>
          <w:szCs w:val="20"/>
          <w:lang w:val="it-IT"/>
        </w:rPr>
        <w:t>libertà di servizi.</w:t>
      </w:r>
    </w:p>
    <w:p w14:paraId="2F7D6314" w14:textId="29A2D245" w:rsidR="009D2427" w:rsidRPr="00656794" w:rsidRDefault="00867942" w:rsidP="009D2427">
      <w:pPr>
        <w:pStyle w:val="NormalWeb"/>
        <w:ind w:right="102"/>
        <w:jc w:val="both"/>
        <w:rPr>
          <w:rFonts w:ascii="Arial" w:hAnsi="Arial" w:cs="Arial"/>
          <w:color w:val="000000"/>
          <w:sz w:val="20"/>
          <w:szCs w:val="20"/>
          <w:lang w:val="it-IT"/>
        </w:rPr>
      </w:pPr>
      <w:r>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9D2427" w:rsidRPr="00656794">
        <w:rPr>
          <w:rFonts w:ascii="Arial" w:hAnsi="Arial" w:cs="Arial"/>
          <w:color w:val="000000"/>
          <w:sz w:val="20"/>
          <w:szCs w:val="20"/>
          <w:lang w:val="it-IT"/>
        </w:rPr>
        <w:t xml:space="preserve"> propone alla </w:t>
      </w:r>
      <w:r w:rsidR="00DB414C">
        <w:rPr>
          <w:rFonts w:ascii="Arial" w:hAnsi="Arial" w:cs="Arial"/>
          <w:color w:val="000000"/>
          <w:sz w:val="20"/>
          <w:szCs w:val="20"/>
          <w:lang w:val="it-IT"/>
        </w:rPr>
        <w:t>Data di trasferimento effettiva</w:t>
      </w:r>
      <w:r w:rsidR="009D2427" w:rsidRPr="00656794">
        <w:rPr>
          <w:rFonts w:ascii="Arial" w:hAnsi="Arial" w:cs="Arial"/>
          <w:color w:val="000000"/>
          <w:sz w:val="20"/>
          <w:szCs w:val="20"/>
          <w:lang w:val="it-IT"/>
        </w:rPr>
        <w:t>:</w:t>
      </w:r>
    </w:p>
    <w:p w14:paraId="784EBB61" w14:textId="18C2620E"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9D3FDB">
        <w:rPr>
          <w:rFonts w:ascii="Arial" w:hAnsi="Arial" w:cs="Arial"/>
          <w:color w:val="000000"/>
          <w:sz w:val="20"/>
          <w:szCs w:val="20"/>
          <w:lang w:val="it-IT"/>
        </w:rPr>
        <w:t>di t</w:t>
      </w:r>
      <w:r w:rsidRPr="00656794">
        <w:rPr>
          <w:rFonts w:ascii="Arial" w:hAnsi="Arial" w:cs="Arial"/>
          <w:color w:val="000000"/>
          <w:sz w:val="20"/>
          <w:szCs w:val="20"/>
          <w:lang w:val="it-IT"/>
        </w:rPr>
        <w:t xml:space="preserve">rasferire le passività da ZLAP a ZIL, con le polizze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come uniche polizze oggetto del trasferimento.</w:t>
      </w:r>
    </w:p>
    <w:p w14:paraId="5BE4996F" w14:textId="77777777" w:rsidR="00D438FA"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Che ZIL stabilirà riserve tecniche regolamentari in relazione alle passività trasferite e ai relativi requisiti patrimoniali in base alla metodologia e alla base regolamentare di Solvency II. </w:t>
      </w:r>
    </w:p>
    <w:p w14:paraId="7F77733B" w14:textId="3706CB23"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Che il trasferimento del portafoglio sarà effettuato a condizioni di mercato e includerà il trasferimento di attività per supportare la manutenzione dei portafogli dopo il trasferimento del portafoglio</w:t>
      </w:r>
      <w:r w:rsidR="009D3FDB">
        <w:rPr>
          <w:rFonts w:ascii="Arial" w:hAnsi="Arial" w:cs="Arial"/>
          <w:color w:val="000000"/>
          <w:sz w:val="20"/>
          <w:szCs w:val="20"/>
          <w:lang w:val="it-IT"/>
        </w:rPr>
        <w:t xml:space="preserve"> stesso</w:t>
      </w:r>
      <w:r w:rsidRPr="00656794">
        <w:rPr>
          <w:rFonts w:ascii="Arial" w:hAnsi="Arial" w:cs="Arial"/>
          <w:color w:val="000000"/>
          <w:sz w:val="20"/>
          <w:szCs w:val="20"/>
          <w:lang w:val="it-IT"/>
        </w:rPr>
        <w:t>.</w:t>
      </w:r>
    </w:p>
    <w:p w14:paraId="248C91C0" w14:textId="53C86408"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In termini di corrispettivo per la cessione del </w:t>
      </w:r>
      <w:r w:rsidR="00580879">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italiano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ZLAP riceverà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attività di partecipazione sotto forma di capitale sociale di ZIL, che ZLAP venderà alla </w:t>
      </w:r>
      <w:r w:rsidR="005A3D91">
        <w:rPr>
          <w:rFonts w:ascii="Arial" w:hAnsi="Arial" w:cs="Arial"/>
          <w:color w:val="000000"/>
          <w:sz w:val="20"/>
          <w:szCs w:val="20"/>
          <w:lang w:val="it-IT"/>
        </w:rPr>
        <w:t>branch</w:t>
      </w:r>
      <w:r w:rsidRPr="00656794">
        <w:rPr>
          <w:rFonts w:ascii="Arial" w:hAnsi="Arial" w:cs="Arial"/>
          <w:color w:val="000000"/>
          <w:sz w:val="20"/>
          <w:szCs w:val="20"/>
          <w:lang w:val="it-IT"/>
        </w:rPr>
        <w:t xml:space="preserve"> italiana ZIC non appena possibile. Questa forma di pagamento è nota come benefi</w:t>
      </w:r>
      <w:r w:rsidR="009D3FDB">
        <w:rPr>
          <w:rFonts w:ascii="Arial" w:hAnsi="Arial" w:cs="Arial"/>
          <w:color w:val="000000"/>
          <w:sz w:val="20"/>
          <w:szCs w:val="20"/>
          <w:lang w:val="it-IT"/>
        </w:rPr>
        <w:t>cio</w:t>
      </w:r>
      <w:r w:rsidRPr="00656794">
        <w:rPr>
          <w:rFonts w:ascii="Arial" w:hAnsi="Arial" w:cs="Arial"/>
          <w:color w:val="000000"/>
          <w:sz w:val="20"/>
          <w:szCs w:val="20"/>
          <w:lang w:val="it-IT"/>
        </w:rPr>
        <w:t xml:space="preserve"> in natura.</w:t>
      </w:r>
    </w:p>
    <w:p w14:paraId="3FC03B35" w14:textId="286500B1"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xml:space="preserve">■ Per mantenere i termini e le condizioni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ovvero non ci saranno modifiche a</w:t>
      </w:r>
      <w:r w:rsidR="0094302E">
        <w:rPr>
          <w:rFonts w:ascii="Arial" w:hAnsi="Arial" w:cs="Arial"/>
          <w:color w:val="000000"/>
          <w:sz w:val="20"/>
          <w:szCs w:val="20"/>
          <w:lang w:val="it-IT"/>
        </w:rPr>
        <w:t>lle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in nessuna delle entità. Come indicato, le modifiche ad alcun</w:t>
      </w:r>
      <w:r w:rsidR="0094302E">
        <w:rPr>
          <w:rFonts w:ascii="Arial" w:hAnsi="Arial" w:cs="Arial"/>
          <w:color w:val="000000"/>
          <w:sz w:val="20"/>
          <w:szCs w:val="20"/>
          <w:lang w:val="it-IT"/>
        </w:rPr>
        <w:t>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in relazione alle polizze </w:t>
      </w:r>
      <w:r w:rsidR="0094302E">
        <w:rPr>
          <w:rFonts w:ascii="Arial" w:hAnsi="Arial" w:cs="Arial"/>
          <w:color w:val="000000"/>
          <w:sz w:val="20"/>
          <w:szCs w:val="20"/>
          <w:lang w:val="it-IT"/>
        </w:rPr>
        <w:t>sottoscritte in libera prestazione di servizi</w:t>
      </w:r>
      <w:r w:rsidRPr="00656794">
        <w:rPr>
          <w:rFonts w:ascii="Arial" w:hAnsi="Arial" w:cs="Arial"/>
          <w:color w:val="000000"/>
          <w:sz w:val="20"/>
          <w:szCs w:val="20"/>
          <w:lang w:val="it-IT"/>
        </w:rPr>
        <w:t xml:space="preserve"> saranno apportate prima del </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per garantire che siano conformi ai requisiti italiani 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saranno comunicati come previsto.</w:t>
      </w:r>
    </w:p>
    <w:p w14:paraId="1AD99EAE" w14:textId="45D85460" w:rsidR="00D438FA"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Allocare lo stesso tipo, numero e valore complessivo di quote nei fondi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ZIL detenute da ZLAP nei suoi fondi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per le polizze trasferite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ambito </w:t>
      </w:r>
      <w:r w:rsidR="00580879">
        <w:rPr>
          <w:rFonts w:ascii="Arial" w:hAnsi="Arial" w:cs="Arial"/>
          <w:color w:val="000000"/>
          <w:sz w:val="20"/>
          <w:szCs w:val="20"/>
          <w:lang w:val="it-IT"/>
        </w:rPr>
        <w:t>dell’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w:t>
      </w:r>
    </w:p>
    <w:p w14:paraId="75EBAC43" w14:textId="653EC823"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Per mantenere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operatività dei contratti assicurativi, ovvero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operatività delle polizze non cambierà. Il provider di amministrazione sottostante cambierà da Capita a Previnet, i servizi amministrativi forniti rimarranno gli stessi senza alcun impatto previsto sulle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xml:space="preserve"> di trasferimento prima, durante o dopo la migrazione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amministrazione.</w:t>
      </w:r>
    </w:p>
    <w:p w14:paraId="08110383" w14:textId="395FAC4E"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La </w:t>
      </w:r>
      <w:r w:rsidR="00DB414C">
        <w:rPr>
          <w:rFonts w:ascii="Arial" w:hAnsi="Arial" w:cs="Arial"/>
          <w:color w:val="000000"/>
          <w:sz w:val="20"/>
          <w:szCs w:val="20"/>
          <w:lang w:val="it-IT"/>
        </w:rPr>
        <w:t>Data di trasferimento effettiva</w:t>
      </w:r>
      <w:r w:rsidRPr="00656794">
        <w:rPr>
          <w:rFonts w:ascii="Arial" w:hAnsi="Arial" w:cs="Arial"/>
          <w:color w:val="000000"/>
          <w:sz w:val="20"/>
          <w:szCs w:val="20"/>
          <w:lang w:val="it-IT"/>
        </w:rPr>
        <w:t xml:space="preserve">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w:t>
      </w:r>
      <w:r w:rsidR="000A1AB2">
        <w:rPr>
          <w:rFonts w:ascii="Arial" w:hAnsi="Arial" w:cs="Arial"/>
          <w:color w:val="000000"/>
          <w:sz w:val="20"/>
          <w:szCs w:val="20"/>
          <w:lang w:val="it-IT"/>
        </w:rPr>
        <w:t xml:space="preserve">proposto </w:t>
      </w:r>
      <w:r w:rsidRPr="00656794">
        <w:rPr>
          <w:rFonts w:ascii="Arial" w:hAnsi="Arial" w:cs="Arial"/>
          <w:color w:val="000000"/>
          <w:sz w:val="20"/>
          <w:szCs w:val="20"/>
          <w:lang w:val="it-IT"/>
        </w:rPr>
        <w:t xml:space="preserve">è prevista per il </w:t>
      </w:r>
      <w:r w:rsidR="00D438FA" w:rsidRPr="00656794">
        <w:rPr>
          <w:rFonts w:ascii="Arial" w:hAnsi="Arial" w:cs="Arial"/>
          <w:color w:val="000000"/>
          <w:sz w:val="20"/>
          <w:szCs w:val="20"/>
          <w:lang w:val="it-IT"/>
        </w:rPr>
        <w:t>1° luglio</w:t>
      </w:r>
      <w:r w:rsidRPr="00656794">
        <w:rPr>
          <w:rFonts w:ascii="Arial" w:hAnsi="Arial" w:cs="Arial"/>
          <w:color w:val="000000"/>
          <w:sz w:val="20"/>
          <w:szCs w:val="20"/>
          <w:lang w:val="it-IT"/>
        </w:rPr>
        <w:t xml:space="preserve"> 2022.</w:t>
      </w:r>
    </w:p>
    <w:p w14:paraId="62383562" w14:textId="1D6F7A2A" w:rsidR="009D2427" w:rsidRPr="00656794" w:rsidRDefault="009D2427" w:rsidP="00D438FA">
      <w:pPr>
        <w:spacing w:before="273"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5.2 </w:t>
      </w:r>
      <w:r w:rsidR="006F59BB" w:rsidRPr="00656794">
        <w:rPr>
          <w:rFonts w:ascii="Arial" w:eastAsia="Times New Roman" w:hAnsi="Arial" w:cs="Arial"/>
          <w:b/>
          <w:bCs/>
          <w:color w:val="00338D"/>
          <w:sz w:val="28"/>
          <w:szCs w:val="28"/>
          <w:lang w:val="it-IT" w:eastAsia="en-IE"/>
        </w:rPr>
        <w:t>Continuità del procedimento</w:t>
      </w:r>
    </w:p>
    <w:p w14:paraId="6639DEC5" w14:textId="03A8B40A"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Sebbene ZLAP abbia indicato che non può prevedere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esito 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di qualsiasi arbitrato, contenzioso o procedimento normativo in sospeso o futuro, non ritiene che qualsiasi arbitrato, contenzioso o procedimento normativo in sospeso avrà un effetto negativo sostanziale sulla sua attività, condizione finanziaria o risultati delle operazioni.</w:t>
      </w:r>
    </w:p>
    <w:p w14:paraId="55240F25" w14:textId="1A1BC0D2"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Mi risulta che alla </w:t>
      </w:r>
      <w:r w:rsidR="00DB4C55">
        <w:rPr>
          <w:rFonts w:ascii="Arial" w:hAnsi="Arial" w:cs="Arial"/>
          <w:color w:val="000000"/>
          <w:sz w:val="20"/>
          <w:szCs w:val="20"/>
          <w:lang w:val="it-IT"/>
        </w:rPr>
        <w:t>Data di trasferimento effettiva</w:t>
      </w:r>
      <w:r w:rsidRPr="00656794">
        <w:rPr>
          <w:rFonts w:ascii="Arial" w:hAnsi="Arial" w:cs="Arial"/>
          <w:color w:val="000000"/>
          <w:sz w:val="20"/>
          <w:szCs w:val="20"/>
          <w:lang w:val="it-IT"/>
        </w:rPr>
        <w:t>, qualsiasi procedimento legale pendente, attuale o futuro contro ZLAP in relazione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attività assicurativa trasferita diventerà di responsabilità di ZIL.</w:t>
      </w:r>
    </w:p>
    <w:p w14:paraId="6365E7A4" w14:textId="58AE7081"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 particolare</w:t>
      </w:r>
      <w:r w:rsidR="006F59BB"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per le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w:t>
      </w:r>
    </w:p>
    <w:p w14:paraId="57745951" w14:textId="1A853329"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ZIL assicurerà che ZLAP sarà liberata da tutte le passività assicurative relative alle Polizze di Trasferimento (come definite ne</w:t>
      </w:r>
      <w:r w:rsidR="00757DE6" w:rsidRPr="00656794">
        <w:rPr>
          <w:rFonts w:ascii="Arial" w:hAnsi="Arial" w:cs="Arial"/>
          <w:color w:val="000000"/>
          <w:sz w:val="20"/>
          <w:szCs w:val="20"/>
          <w:lang w:val="it-IT"/>
        </w:rPr>
        <w:t>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dopo la </w:t>
      </w:r>
      <w:r w:rsidR="00DB414C">
        <w:rPr>
          <w:rFonts w:ascii="Arial" w:hAnsi="Arial" w:cs="Arial"/>
          <w:color w:val="000000"/>
          <w:sz w:val="20"/>
          <w:szCs w:val="20"/>
          <w:lang w:val="it-IT"/>
        </w:rPr>
        <w:t>Data di trasferimento effettiva</w:t>
      </w:r>
      <w:r w:rsidRPr="00656794">
        <w:rPr>
          <w:rFonts w:ascii="Arial" w:hAnsi="Arial" w:cs="Arial"/>
          <w:color w:val="000000"/>
          <w:sz w:val="20"/>
          <w:szCs w:val="20"/>
          <w:lang w:val="it-IT"/>
        </w:rPr>
        <w:t>, indipendentemente da quando tali passività siano sorte.</w:t>
      </w:r>
    </w:p>
    <w:p w14:paraId="1BE9164C" w14:textId="4EFC70CE"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ZLAP garantirà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assunzione da parte di ZIL di tutte le passività assicurative relative alle Polizze di trasferimento dopo la </w:t>
      </w:r>
      <w:r w:rsidR="00DB4C55">
        <w:rPr>
          <w:rFonts w:ascii="Arial" w:hAnsi="Arial" w:cs="Arial"/>
          <w:color w:val="000000"/>
          <w:sz w:val="20"/>
          <w:szCs w:val="20"/>
          <w:lang w:val="it-IT"/>
        </w:rPr>
        <w:t>Data di trasferimento effettiva</w:t>
      </w:r>
      <w:r w:rsidRPr="00656794">
        <w:rPr>
          <w:rFonts w:ascii="Arial" w:hAnsi="Arial" w:cs="Arial"/>
          <w:color w:val="000000"/>
          <w:sz w:val="20"/>
          <w:szCs w:val="20"/>
          <w:lang w:val="it-IT"/>
        </w:rPr>
        <w:t xml:space="preserve"> e ZIL riconosce che sarà responsabile dopo la </w:t>
      </w:r>
      <w:r w:rsidR="00DB4C55">
        <w:rPr>
          <w:rFonts w:ascii="Arial" w:hAnsi="Arial" w:cs="Arial"/>
          <w:color w:val="000000"/>
          <w:sz w:val="20"/>
          <w:szCs w:val="20"/>
          <w:lang w:val="it-IT"/>
        </w:rPr>
        <w:t>Data di trasferimento effettiva</w:t>
      </w:r>
      <w:r w:rsidRPr="00656794">
        <w:rPr>
          <w:rFonts w:ascii="Arial" w:hAnsi="Arial" w:cs="Arial"/>
          <w:color w:val="000000"/>
          <w:sz w:val="20"/>
          <w:szCs w:val="20"/>
          <w:lang w:val="it-IT"/>
        </w:rPr>
        <w:t>.</w:t>
      </w:r>
    </w:p>
    <w:p w14:paraId="7C4B501F" w14:textId="41839052" w:rsidR="009D2427" w:rsidRPr="00656794" w:rsidRDefault="009D2427" w:rsidP="009D2427">
      <w:pPr>
        <w:pStyle w:val="NormalWeb"/>
        <w:ind w:right="102"/>
        <w:jc w:val="both"/>
        <w:rPr>
          <w:rFonts w:ascii="Arial" w:hAnsi="Arial" w:cs="Arial"/>
          <w:b/>
          <w:bCs/>
          <w:color w:val="00338D"/>
          <w:sz w:val="28"/>
          <w:szCs w:val="28"/>
          <w:lang w:val="it-IT"/>
        </w:rPr>
      </w:pPr>
      <w:r w:rsidRPr="00656794">
        <w:rPr>
          <w:rFonts w:ascii="Arial" w:hAnsi="Arial" w:cs="Arial"/>
          <w:b/>
          <w:bCs/>
          <w:color w:val="00338D"/>
          <w:sz w:val="28"/>
          <w:szCs w:val="28"/>
          <w:lang w:val="it-IT"/>
        </w:rPr>
        <w:t xml:space="preserve">5.3 </w:t>
      </w:r>
      <w:r w:rsidR="001C7704" w:rsidRPr="00656794">
        <w:rPr>
          <w:rFonts w:ascii="Arial" w:hAnsi="Arial" w:cs="Arial"/>
          <w:b/>
          <w:bCs/>
          <w:color w:val="00338D"/>
          <w:sz w:val="28"/>
          <w:szCs w:val="28"/>
          <w:lang w:val="it-IT"/>
        </w:rPr>
        <w:t>Diritti e obblighi</w:t>
      </w:r>
    </w:p>
    <w:p w14:paraId="56D88CC5" w14:textId="43C8C3CF" w:rsidR="009D2427" w:rsidRPr="00656794" w:rsidRDefault="009D2427" w:rsidP="009D2427">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Ogni titolare di una Polizza di Trasferimento avrà nei confronti di ZIL gli stessi diritti contrattuali che il titolare ha attualmente nei confronti di ZLAP. Pertanto, non vi sono modifiche ai termini e alle condizioni contrattuali a seguito del Programma (sebbene si notino alcune modifiche a</w:t>
      </w:r>
      <w:r w:rsidR="0094302E">
        <w:rPr>
          <w:rFonts w:ascii="Arial" w:hAnsi="Arial" w:cs="Arial"/>
          <w:color w:val="000000"/>
          <w:sz w:val="20"/>
          <w:szCs w:val="20"/>
          <w:lang w:val="it-IT"/>
        </w:rPr>
        <w:t>lle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di </w:t>
      </w:r>
      <w:r w:rsidR="002F2BD3">
        <w:rPr>
          <w:rFonts w:ascii="Arial" w:hAnsi="Arial" w:cs="Arial"/>
          <w:color w:val="000000"/>
          <w:sz w:val="20"/>
          <w:szCs w:val="20"/>
          <w:lang w:val="it-IT"/>
        </w:rPr>
        <w:t>Di libertà di servizi</w:t>
      </w:r>
      <w:r w:rsidRPr="00656794">
        <w:rPr>
          <w:rFonts w:ascii="Arial" w:hAnsi="Arial" w:cs="Arial"/>
          <w:color w:val="000000"/>
          <w:sz w:val="20"/>
          <w:szCs w:val="20"/>
          <w:lang w:val="it-IT"/>
        </w:rPr>
        <w:t xml:space="preserve"> precedenti al Programma).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effetto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sarà che ogni titolare o potenziale richiedente contro una Polizza di trasferimento acquisirà gli stessi diritti nei confronti di ZIL che il titolare o potenziale richiedente ha nei confronti di ZLAP e sarà soggetto agli stessi obblighi nei confronti di ZIL come il titolare o potenziale richiedente.</w:t>
      </w:r>
    </w:p>
    <w:p w14:paraId="5F65CF88" w14:textId="69704C13" w:rsidR="009D2427" w:rsidRPr="00656794" w:rsidRDefault="009D2427" w:rsidP="009D2427">
      <w:pPr>
        <w:pStyle w:val="NormalWeb"/>
        <w:ind w:right="102"/>
        <w:jc w:val="both"/>
        <w:rPr>
          <w:rFonts w:ascii="Arial" w:hAnsi="Arial" w:cs="Arial"/>
          <w:b/>
          <w:bCs/>
          <w:color w:val="00338D"/>
          <w:sz w:val="28"/>
          <w:szCs w:val="28"/>
          <w:lang w:val="it-IT"/>
        </w:rPr>
      </w:pPr>
      <w:r w:rsidRPr="00656794">
        <w:rPr>
          <w:rFonts w:ascii="Arial" w:hAnsi="Arial" w:cs="Arial"/>
          <w:b/>
          <w:bCs/>
          <w:color w:val="00338D"/>
          <w:sz w:val="28"/>
          <w:szCs w:val="28"/>
          <w:lang w:val="it-IT"/>
        </w:rPr>
        <w:t xml:space="preserve">5.4 </w:t>
      </w:r>
      <w:r w:rsidR="00E43C08" w:rsidRPr="00656794">
        <w:rPr>
          <w:rFonts w:ascii="Arial" w:hAnsi="Arial" w:cs="Arial"/>
          <w:b/>
          <w:bCs/>
          <w:color w:val="00338D"/>
          <w:sz w:val="28"/>
          <w:szCs w:val="28"/>
          <w:lang w:val="it-IT"/>
        </w:rPr>
        <w:t>Mantenimento degli accordi di riassicurazione esistenti</w:t>
      </w:r>
    </w:p>
    <w:p w14:paraId="5CA49566" w14:textId="42BCB9E2"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È in essere una riassicurazione su un numero limitato di polizze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 portafoglio 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Per meno di 100 polizze che hanno un rider di protezione,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indennità di protezione è retrocessa del 50% a ZIC (società madre).</w:t>
      </w:r>
    </w:p>
    <w:p w14:paraId="310446F8" w14:textId="2B74B277"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non sono in essere altri accordi di riassicurazione.</w:t>
      </w:r>
    </w:p>
    <w:p w14:paraId="2EB264B6" w14:textId="6AF84C12" w:rsidR="009D2427"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Come parte del</w:t>
      </w:r>
      <w:r w:rsidR="00867942">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accordo di riassicurazione esistente non sarà trasferito a ZIL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accordo sarà annullato.</w:t>
      </w:r>
    </w:p>
    <w:p w14:paraId="4E06C403" w14:textId="7036383D" w:rsidR="00031362" w:rsidRPr="00656794" w:rsidRDefault="00031362" w:rsidP="00E43C08">
      <w:pPr>
        <w:spacing w:before="283"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lastRenderedPageBreak/>
        <w:t xml:space="preserve">5.5 </w:t>
      </w:r>
      <w:r w:rsidR="002C17A1" w:rsidRPr="00656794">
        <w:rPr>
          <w:rFonts w:ascii="Arial" w:eastAsia="Times New Roman" w:hAnsi="Arial" w:cs="Arial"/>
          <w:b/>
          <w:bCs/>
          <w:color w:val="00338D"/>
          <w:sz w:val="28"/>
          <w:szCs w:val="28"/>
          <w:lang w:val="it-IT" w:eastAsia="en-IE"/>
        </w:rPr>
        <w:t>Mantenimento e funzionamento dei fondi</w:t>
      </w:r>
    </w:p>
    <w:p w14:paraId="4EE06299" w14:textId="5A0F03F5"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Tale voce si riferisce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ampiezza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offerta di fondi e al livello degli oneri associati ai fondi di investimento a disposizione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italiani. Laddove gli attuali fondi offerti da ZLAP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AD0F9C">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non saranno disponibili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AD0F9C">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dopo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i fondi saranno trasferiti a fondi sostitutivi che sono stati concordati con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prima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che forniscono </w:t>
      </w:r>
      <w:r w:rsidR="00DB4C55">
        <w:rPr>
          <w:rFonts w:ascii="Arial" w:hAnsi="Arial" w:cs="Arial"/>
          <w:color w:val="000000"/>
          <w:sz w:val="20"/>
          <w:szCs w:val="20"/>
          <w:lang w:val="it-IT"/>
        </w:rPr>
        <w:t>stessi</w:t>
      </w:r>
      <w:r w:rsidRPr="00656794">
        <w:rPr>
          <w:rFonts w:ascii="Arial" w:hAnsi="Arial" w:cs="Arial"/>
          <w:color w:val="000000"/>
          <w:sz w:val="20"/>
          <w:szCs w:val="20"/>
          <w:lang w:val="it-IT"/>
        </w:rPr>
        <w:t xml:space="preserve"> o </w:t>
      </w:r>
      <w:r w:rsidR="00DB4C55">
        <w:rPr>
          <w:rFonts w:ascii="Arial" w:hAnsi="Arial" w:cs="Arial"/>
          <w:color w:val="000000"/>
          <w:sz w:val="20"/>
          <w:szCs w:val="20"/>
          <w:lang w:val="it-IT"/>
        </w:rPr>
        <w:t xml:space="preserve">simili </w:t>
      </w:r>
      <w:r w:rsidRPr="00656794">
        <w:rPr>
          <w:rFonts w:ascii="Arial" w:hAnsi="Arial" w:cs="Arial"/>
          <w:color w:val="000000"/>
          <w:sz w:val="20"/>
          <w:szCs w:val="20"/>
          <w:lang w:val="it-IT"/>
        </w:rPr>
        <w:t>mandati di investimento, prestazioni e costi in linea con le aspettative ragionevoli del contraente e i termini e le condizioni della polizza.</w:t>
      </w:r>
    </w:p>
    <w:p w14:paraId="5C6CB379" w14:textId="68DA6A8C" w:rsidR="002C17A1"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Per la maggior parte delle attività in gestione non ci saranno modifiche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offerta del fondo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Ciò include tutti i beni relativi alla libertà di stabilimento (1,76 miliardi di euro a 20 anni). </w:t>
      </w:r>
    </w:p>
    <w:p w14:paraId="113370A2" w14:textId="215FB34B"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Per il 34% degli asset in gestione della libertà di servizi (ossia il 34% di 63 milioni di euro) i fondi sono fondi specifici ZLAP che non</w:t>
      </w:r>
      <w:r w:rsidR="00DB4C55">
        <w:rPr>
          <w:rFonts w:ascii="Arial" w:hAnsi="Arial" w:cs="Arial"/>
          <w:color w:val="000000"/>
          <w:sz w:val="20"/>
          <w:szCs w:val="20"/>
          <w:lang w:val="it-IT"/>
        </w:rPr>
        <w:t xml:space="preserve"> verranno trasferiti</w:t>
      </w:r>
      <w:r w:rsidRPr="00656794">
        <w:rPr>
          <w:rFonts w:ascii="Arial" w:hAnsi="Arial" w:cs="Arial"/>
          <w:color w:val="000000"/>
          <w:sz w:val="20"/>
          <w:szCs w:val="20"/>
          <w:lang w:val="it-IT"/>
        </w:rPr>
        <w:t xml:space="preserve"> come parte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fondi alternativi con esposizioni al rischio simili e oneri del fondo uguali o </w:t>
      </w:r>
      <w:r w:rsidR="002C17A1" w:rsidRPr="00656794">
        <w:rPr>
          <w:rFonts w:ascii="Arial" w:hAnsi="Arial" w:cs="Arial"/>
          <w:color w:val="000000"/>
          <w:sz w:val="20"/>
          <w:szCs w:val="20"/>
          <w:lang w:val="it-IT"/>
        </w:rPr>
        <w:t>inferiori,</w:t>
      </w:r>
      <w:r w:rsidRPr="00656794">
        <w:rPr>
          <w:rFonts w:ascii="Arial" w:hAnsi="Arial" w:cs="Arial"/>
          <w:color w:val="000000"/>
          <w:sz w:val="20"/>
          <w:szCs w:val="20"/>
          <w:lang w:val="it-IT"/>
        </w:rPr>
        <w:t xml:space="preserve"> </w:t>
      </w:r>
      <w:r w:rsidR="00DB4C55">
        <w:rPr>
          <w:rFonts w:ascii="Arial" w:hAnsi="Arial" w:cs="Arial"/>
          <w:color w:val="000000"/>
          <w:sz w:val="20"/>
          <w:szCs w:val="20"/>
          <w:lang w:val="it-IT"/>
        </w:rPr>
        <w:t xml:space="preserve">verranno </w:t>
      </w:r>
      <w:r w:rsidRPr="00656794">
        <w:rPr>
          <w:rFonts w:ascii="Arial" w:hAnsi="Arial" w:cs="Arial"/>
          <w:color w:val="000000"/>
          <w:sz w:val="20"/>
          <w:szCs w:val="20"/>
          <w:lang w:val="it-IT"/>
        </w:rPr>
        <w:t>offert</w:t>
      </w:r>
      <w:r w:rsidR="00DB4C55">
        <w:rPr>
          <w:rFonts w:ascii="Arial" w:hAnsi="Arial" w:cs="Arial"/>
          <w:color w:val="000000"/>
          <w:sz w:val="20"/>
          <w:szCs w:val="20"/>
          <w:lang w:val="it-IT"/>
        </w:rPr>
        <w:t>i</w:t>
      </w:r>
      <w:r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8A0967">
        <w:rPr>
          <w:rFonts w:ascii="Arial" w:hAnsi="Arial" w:cs="Arial"/>
          <w:color w:val="000000"/>
          <w:sz w:val="20"/>
          <w:szCs w:val="20"/>
          <w:lang w:val="it-IT"/>
        </w:rPr>
        <w:t xml:space="preserve"> in perimetro per il trasferimento</w:t>
      </w:r>
      <w:r w:rsidRPr="00656794">
        <w:rPr>
          <w:rFonts w:ascii="Arial" w:hAnsi="Arial" w:cs="Arial"/>
          <w:color w:val="000000"/>
          <w:sz w:val="20"/>
          <w:szCs w:val="20"/>
          <w:lang w:val="it-IT"/>
        </w:rPr>
        <w:t xml:space="preserve"> prima della </w:t>
      </w:r>
      <w:r w:rsidR="00DB4C55">
        <w:rPr>
          <w:rFonts w:ascii="Arial" w:hAnsi="Arial" w:cs="Arial"/>
          <w:color w:val="000000"/>
          <w:sz w:val="20"/>
          <w:szCs w:val="20"/>
          <w:lang w:val="it-IT"/>
        </w:rPr>
        <w:t>Data di trasferimento effettiva</w:t>
      </w:r>
      <w:r w:rsidRPr="00656794">
        <w:rPr>
          <w:rFonts w:ascii="Arial" w:hAnsi="Arial" w:cs="Arial"/>
          <w:color w:val="000000"/>
          <w:sz w:val="20"/>
          <w:szCs w:val="20"/>
          <w:lang w:val="it-IT"/>
        </w:rPr>
        <w:t>.</w:t>
      </w:r>
    </w:p>
    <w:p w14:paraId="7D74C3A6" w14:textId="69F60F2C"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Ci sono altri 4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elemento </w:t>
      </w:r>
      <w:r w:rsidR="00DB4C55">
        <w:rPr>
          <w:rFonts w:ascii="Arial" w:hAnsi="Arial" w:cs="Arial"/>
          <w:color w:val="000000"/>
          <w:sz w:val="20"/>
          <w:szCs w:val="20"/>
          <w:lang w:val="it-IT"/>
        </w:rPr>
        <w:t xml:space="preserve">di regime di </w:t>
      </w:r>
      <w:r w:rsidRPr="00656794">
        <w:rPr>
          <w:rFonts w:ascii="Arial" w:hAnsi="Arial" w:cs="Arial"/>
          <w:color w:val="000000"/>
          <w:sz w:val="20"/>
          <w:szCs w:val="20"/>
          <w:lang w:val="it-IT"/>
        </w:rPr>
        <w:t>libertà di servizi del portafoglio con l</w:t>
      </w:r>
      <w:r w:rsidR="00DB4C55">
        <w:rPr>
          <w:rFonts w:ascii="Arial" w:hAnsi="Arial" w:cs="Arial"/>
          <w:color w:val="000000"/>
          <w:sz w:val="20"/>
          <w:szCs w:val="20"/>
          <w:lang w:val="it-IT"/>
        </w:rPr>
        <w:t>o</w:t>
      </w:r>
      <w:r w:rsidRPr="00656794">
        <w:rPr>
          <w:rFonts w:ascii="Arial" w:hAnsi="Arial" w:cs="Arial"/>
          <w:color w:val="000000"/>
          <w:sz w:val="20"/>
          <w:szCs w:val="20"/>
          <w:lang w:val="it-IT"/>
        </w:rPr>
        <w:t xml:space="preserve"> 0,04% del patrimonio di libertà di servizi in gestione investito in un fondo specifico Irish Equity dove non è possibile trovare un fondo alternativo simile. Per questi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saranno offerte opzioni di fondi alternativi prima della </w:t>
      </w:r>
      <w:r w:rsidR="00DB4C55">
        <w:rPr>
          <w:rFonts w:ascii="Arial" w:hAnsi="Arial" w:cs="Arial"/>
          <w:color w:val="000000"/>
          <w:sz w:val="20"/>
          <w:szCs w:val="20"/>
          <w:lang w:val="it-IT"/>
        </w:rPr>
        <w:t>data di trasferimento effettiva</w:t>
      </w:r>
      <w:r w:rsidRPr="00656794">
        <w:rPr>
          <w:rFonts w:ascii="Arial" w:hAnsi="Arial" w:cs="Arial"/>
          <w:color w:val="000000"/>
          <w:sz w:val="20"/>
          <w:szCs w:val="20"/>
          <w:lang w:val="it-IT"/>
        </w:rPr>
        <w:t>.</w:t>
      </w:r>
    </w:p>
    <w:p w14:paraId="59454F63" w14:textId="6263AC02"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Pertanto, per tutti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italiani, verranno attivate opzioni di fondi adeguate prima del trasferimento.</w:t>
      </w:r>
    </w:p>
    <w:p w14:paraId="7ED6675D" w14:textId="3A876D6A" w:rsidR="00031362" w:rsidRPr="00656794" w:rsidRDefault="00031362" w:rsidP="002C17A1">
      <w:pPr>
        <w:spacing w:before="280"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5.6 </w:t>
      </w:r>
      <w:r w:rsidR="00027064" w:rsidRPr="00656794">
        <w:rPr>
          <w:rFonts w:ascii="Arial" w:eastAsia="Times New Roman" w:hAnsi="Arial" w:cs="Arial"/>
          <w:b/>
          <w:bCs/>
          <w:color w:val="00338D"/>
          <w:sz w:val="28"/>
          <w:szCs w:val="28"/>
          <w:lang w:val="it-IT" w:eastAsia="en-IE"/>
        </w:rPr>
        <w:t>Qualità delle attività</w:t>
      </w:r>
    </w:p>
    <w:p w14:paraId="1C8413C7" w14:textId="115A71D8"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Questa voce si riferisce alla gestione del capitale disponibile </w:t>
      </w:r>
      <w:r w:rsidR="007A389D">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ZLAP e </w:t>
      </w:r>
      <w:r w:rsidR="007A389D">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ZIL o dei Fondi Propri. Entrambe le entità aderiscono alle più ampie linee guida di abbinamento attività-passività del Gruppo e alle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xml:space="preserve"> di gestione degli investimenti individuali, nessuna modifica è prevista per nessuna delle entità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0CEEC8C3" w14:textId="4F871CE1" w:rsidR="00031362" w:rsidRPr="00656794" w:rsidRDefault="00031362" w:rsidP="00027064">
      <w:pPr>
        <w:spacing w:before="280"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5.7 </w:t>
      </w:r>
      <w:r w:rsidR="00A32633" w:rsidRPr="00656794">
        <w:rPr>
          <w:rFonts w:ascii="Arial" w:eastAsia="Times New Roman" w:hAnsi="Arial" w:cs="Arial"/>
          <w:b/>
          <w:bCs/>
          <w:color w:val="00338D"/>
          <w:sz w:val="28"/>
          <w:szCs w:val="28"/>
          <w:lang w:val="it-IT" w:eastAsia="en-IE"/>
        </w:rPr>
        <w:t>Accordi di sostegno del capitale</w:t>
      </w:r>
    </w:p>
    <w:p w14:paraId="1BD6EBE2" w14:textId="61ADE2C1"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Entrambe le entità, ZLAP e ZIL, fanno parte del Gruppo Zurich. Dopo il trasferimento, entrambe le entità avranno la possibilità di richiedere il supporto di capitale dalla società madre, se richiesto, e ciò non cambia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Non sono a conoscenza di accordi espliciti in atto per nessuna delle due entità in questo momento.</w:t>
      </w:r>
    </w:p>
    <w:p w14:paraId="58BB17FC" w14:textId="77777777" w:rsidR="00031362" w:rsidRPr="00656794" w:rsidRDefault="00031362" w:rsidP="00A32633">
      <w:pPr>
        <w:spacing w:before="280"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5.8 Target Capital </w:t>
      </w:r>
    </w:p>
    <w:p w14:paraId="1ECD078D" w14:textId="5E130D42"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Entrambe le entità hanno definito un livello di capitale target superiore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Solvency II complessivo. Vorrei notare che, come percentuale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di ZIL è mirare a un livello superiore a quello di ZLAP. Tuttavia, il valore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di ZLAP è più alto, il che significa che mira a un livello più elevato di capitale in eccesso (in termini assoluti).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adottato è simile in entrambe le entità e nessuna delle due sta pianificando una revisione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4C14AB48" w14:textId="08B42C3B" w:rsidR="00031362" w:rsidRPr="00656794" w:rsidRDefault="00031362" w:rsidP="00A32633">
      <w:pPr>
        <w:spacing w:before="280"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5.9 </w:t>
      </w:r>
      <w:r w:rsidR="000C0220" w:rsidRPr="00656794">
        <w:rPr>
          <w:rFonts w:ascii="Arial" w:eastAsia="Times New Roman" w:hAnsi="Arial" w:cs="Arial"/>
          <w:b/>
          <w:bCs/>
          <w:color w:val="00338D"/>
          <w:sz w:val="28"/>
          <w:szCs w:val="28"/>
          <w:lang w:val="it-IT" w:eastAsia="en-IE"/>
        </w:rPr>
        <w:t>Nuova strategia aziendale</w:t>
      </w:r>
      <w:r w:rsidRPr="00656794">
        <w:rPr>
          <w:rFonts w:ascii="Arial" w:eastAsia="Times New Roman" w:hAnsi="Arial" w:cs="Arial"/>
          <w:b/>
          <w:bCs/>
          <w:color w:val="00338D"/>
          <w:sz w:val="28"/>
          <w:szCs w:val="28"/>
          <w:lang w:val="it-IT" w:eastAsia="en-IE"/>
        </w:rPr>
        <w:t> </w:t>
      </w:r>
    </w:p>
    <w:p w14:paraId="1C6A705E" w14:textId="4162CB89" w:rsidR="00031362" w:rsidRPr="00656794" w:rsidRDefault="00422DB7" w:rsidP="00031362">
      <w:pPr>
        <w:pStyle w:val="NormalWeb"/>
        <w:ind w:right="102"/>
        <w:jc w:val="both"/>
        <w:rPr>
          <w:rFonts w:ascii="Arial" w:hAnsi="Arial" w:cs="Arial"/>
          <w:color w:val="000000"/>
          <w:sz w:val="20"/>
          <w:szCs w:val="20"/>
          <w:lang w:val="it-IT"/>
        </w:rPr>
      </w:pPr>
      <w:r>
        <w:rPr>
          <w:rFonts w:ascii="Arial" w:hAnsi="Arial" w:cs="Arial"/>
          <w:color w:val="000000"/>
          <w:sz w:val="20"/>
          <w:szCs w:val="20"/>
          <w:lang w:val="it-IT"/>
        </w:rPr>
        <w:t>Il</w:t>
      </w:r>
      <w:r w:rsidR="00031362" w:rsidRPr="00656794">
        <w:rPr>
          <w:rFonts w:ascii="Arial" w:hAnsi="Arial" w:cs="Arial"/>
          <w:color w:val="000000"/>
          <w:sz w:val="20"/>
          <w:szCs w:val="20"/>
          <w:lang w:val="it-IT"/>
        </w:rPr>
        <w:t xml:space="preserve"> </w:t>
      </w:r>
      <w:r w:rsidR="00580879">
        <w:rPr>
          <w:rFonts w:ascii="Arial" w:hAnsi="Arial" w:cs="Arial"/>
          <w:color w:val="000000"/>
          <w:sz w:val="20"/>
          <w:szCs w:val="20"/>
          <w:lang w:val="it-IT"/>
        </w:rPr>
        <w:t>portafoglio assicurativo</w:t>
      </w:r>
      <w:r w:rsidR="00031362"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italian</w:t>
      </w:r>
      <w:r>
        <w:rPr>
          <w:rFonts w:ascii="Arial" w:hAnsi="Arial" w:cs="Arial"/>
          <w:color w:val="000000"/>
          <w:sz w:val="20"/>
          <w:szCs w:val="20"/>
          <w:lang w:val="it-IT"/>
        </w:rPr>
        <w:t>o unit-linked</w:t>
      </w:r>
      <w:r w:rsidRPr="00656794">
        <w:rPr>
          <w:rFonts w:ascii="Arial" w:hAnsi="Arial" w:cs="Arial"/>
          <w:color w:val="000000"/>
          <w:sz w:val="20"/>
          <w:szCs w:val="20"/>
          <w:lang w:val="it-IT"/>
        </w:rPr>
        <w:t xml:space="preserve"> </w:t>
      </w:r>
      <w:r w:rsidR="00031362" w:rsidRPr="00656794">
        <w:rPr>
          <w:rFonts w:ascii="Arial" w:hAnsi="Arial" w:cs="Arial"/>
          <w:color w:val="000000"/>
          <w:sz w:val="20"/>
          <w:szCs w:val="20"/>
          <w:lang w:val="it-IT"/>
        </w:rPr>
        <w:t xml:space="preserve">di ZLAP è </w:t>
      </w:r>
      <w:r w:rsidR="00626E3B">
        <w:rPr>
          <w:rFonts w:ascii="Arial" w:hAnsi="Arial" w:cs="Arial"/>
          <w:color w:val="000000"/>
          <w:sz w:val="20"/>
          <w:szCs w:val="20"/>
          <w:lang w:val="it-IT"/>
        </w:rPr>
        <w:t>in run-off</w:t>
      </w:r>
      <w:r w:rsidRPr="00656794">
        <w:rPr>
          <w:rFonts w:ascii="Arial" w:hAnsi="Arial" w:cs="Arial"/>
          <w:color w:val="000000"/>
          <w:sz w:val="20"/>
          <w:szCs w:val="20"/>
          <w:lang w:val="it-IT"/>
        </w:rPr>
        <w:t xml:space="preserve"> </w:t>
      </w:r>
      <w:r w:rsidR="00031362" w:rsidRPr="00656794">
        <w:rPr>
          <w:rFonts w:ascii="Arial" w:hAnsi="Arial" w:cs="Arial"/>
          <w:color w:val="000000"/>
          <w:sz w:val="20"/>
          <w:szCs w:val="20"/>
          <w:lang w:val="it-IT"/>
        </w:rPr>
        <w:t>a nuove attività dal 2019.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031362" w:rsidRPr="00656794">
        <w:rPr>
          <w:rFonts w:ascii="Arial" w:hAnsi="Arial" w:cs="Arial"/>
          <w:color w:val="000000"/>
          <w:sz w:val="20"/>
          <w:szCs w:val="20"/>
          <w:lang w:val="it-IT"/>
        </w:rPr>
        <w:t xml:space="preserve"> il portafoglio rimarrà chiuso a nuove attività. Tuttavia, più in generale la strategia di ZIL è quella di continuare a sviluppare il proprio portafoglio </w:t>
      </w:r>
      <w:r>
        <w:rPr>
          <w:rFonts w:ascii="Arial" w:hAnsi="Arial" w:cs="Arial"/>
          <w:color w:val="000000"/>
          <w:sz w:val="20"/>
          <w:szCs w:val="20"/>
          <w:lang w:val="it-IT"/>
        </w:rPr>
        <w:t>unit-linked</w:t>
      </w:r>
      <w:r w:rsidRPr="00656794">
        <w:rPr>
          <w:rFonts w:ascii="Arial" w:hAnsi="Arial" w:cs="Arial"/>
          <w:color w:val="000000"/>
          <w:sz w:val="20"/>
          <w:szCs w:val="20"/>
          <w:lang w:val="it-IT"/>
        </w:rPr>
        <w:t xml:space="preserve"> </w:t>
      </w:r>
      <w:r w:rsidR="00031362" w:rsidRPr="00656794">
        <w:rPr>
          <w:rFonts w:ascii="Arial" w:hAnsi="Arial" w:cs="Arial"/>
          <w:color w:val="000000"/>
          <w:sz w:val="20"/>
          <w:szCs w:val="20"/>
          <w:lang w:val="it-IT"/>
        </w:rPr>
        <w:t xml:space="preserve">e quindi assumere </w:t>
      </w:r>
      <w:r w:rsidR="00031362" w:rsidRPr="00656794">
        <w:rPr>
          <w:rFonts w:ascii="Arial" w:hAnsi="Arial" w:cs="Arial"/>
          <w:color w:val="000000"/>
          <w:sz w:val="20"/>
          <w:szCs w:val="20"/>
          <w:lang w:val="it-IT"/>
        </w:rPr>
        <w:lastRenderedPageBreak/>
        <w:t xml:space="preserve">il </w:t>
      </w:r>
      <w:r>
        <w:rPr>
          <w:rFonts w:ascii="Arial" w:hAnsi="Arial" w:cs="Arial"/>
          <w:color w:val="000000"/>
          <w:sz w:val="20"/>
          <w:szCs w:val="20"/>
          <w:lang w:val="it-IT"/>
        </w:rPr>
        <w:t>portafoglio assicurativo italiano</w:t>
      </w:r>
      <w:r w:rsidR="00031362" w:rsidRPr="00656794">
        <w:rPr>
          <w:rFonts w:ascii="Arial" w:hAnsi="Arial" w:cs="Arial"/>
          <w:color w:val="000000"/>
          <w:sz w:val="20"/>
          <w:szCs w:val="20"/>
          <w:lang w:val="it-IT"/>
        </w:rPr>
        <w:t xml:space="preserve"> chiuso di </w:t>
      </w:r>
      <w:r>
        <w:rPr>
          <w:rFonts w:ascii="Arial" w:hAnsi="Arial" w:cs="Arial"/>
          <w:color w:val="000000"/>
          <w:sz w:val="20"/>
          <w:szCs w:val="20"/>
          <w:lang w:val="it-IT"/>
        </w:rPr>
        <w:t>unit-linked</w:t>
      </w:r>
      <w:r w:rsidR="00031362" w:rsidRPr="00656794">
        <w:rPr>
          <w:rFonts w:ascii="Arial" w:hAnsi="Arial" w:cs="Arial"/>
          <w:color w:val="000000"/>
          <w:sz w:val="20"/>
          <w:szCs w:val="20"/>
          <w:lang w:val="it-IT"/>
        </w:rPr>
        <w:t xml:space="preserve"> ha senso sia </w:t>
      </w:r>
      <w:r w:rsidR="000167FF">
        <w:rPr>
          <w:rFonts w:ascii="Arial" w:hAnsi="Arial" w:cs="Arial"/>
          <w:color w:val="000000"/>
          <w:sz w:val="20"/>
          <w:szCs w:val="20"/>
          <w:lang w:val="it-IT"/>
        </w:rPr>
        <w:t>per il rafforzamento della</w:t>
      </w:r>
      <w:r w:rsidR="00031362" w:rsidRPr="00656794">
        <w:rPr>
          <w:rFonts w:ascii="Arial" w:hAnsi="Arial" w:cs="Arial"/>
          <w:color w:val="000000"/>
          <w:sz w:val="20"/>
          <w:szCs w:val="20"/>
          <w:lang w:val="it-IT"/>
        </w:rPr>
        <w:t xml:space="preserve"> propria esposizione alle attività di </w:t>
      </w:r>
      <w:r>
        <w:rPr>
          <w:rFonts w:ascii="Arial" w:hAnsi="Arial" w:cs="Arial"/>
          <w:color w:val="000000"/>
          <w:sz w:val="20"/>
          <w:szCs w:val="20"/>
          <w:lang w:val="it-IT"/>
        </w:rPr>
        <w:t>unit-linked</w:t>
      </w:r>
      <w:r w:rsidR="00031362" w:rsidRPr="00656794">
        <w:rPr>
          <w:rFonts w:ascii="Arial" w:hAnsi="Arial" w:cs="Arial"/>
          <w:color w:val="000000"/>
          <w:sz w:val="20"/>
          <w:szCs w:val="20"/>
          <w:lang w:val="it-IT"/>
        </w:rPr>
        <w:t xml:space="preserve"> sia </w:t>
      </w:r>
      <w:r w:rsidR="000167FF">
        <w:rPr>
          <w:rFonts w:ascii="Arial" w:hAnsi="Arial" w:cs="Arial"/>
          <w:color w:val="000000"/>
          <w:sz w:val="20"/>
          <w:szCs w:val="20"/>
          <w:lang w:val="it-IT"/>
        </w:rPr>
        <w:t xml:space="preserve">in termini di </w:t>
      </w:r>
      <w:r w:rsidR="00031362" w:rsidRPr="00656794">
        <w:rPr>
          <w:rFonts w:ascii="Arial" w:hAnsi="Arial" w:cs="Arial"/>
          <w:color w:val="000000"/>
          <w:sz w:val="20"/>
          <w:szCs w:val="20"/>
          <w:lang w:val="it-IT"/>
        </w:rPr>
        <w:t xml:space="preserve">potenziali economie di scala </w:t>
      </w:r>
      <w:r w:rsidR="00EA6A51">
        <w:rPr>
          <w:rFonts w:ascii="Arial" w:hAnsi="Arial" w:cs="Arial"/>
          <w:color w:val="000000"/>
          <w:sz w:val="20"/>
          <w:szCs w:val="20"/>
          <w:lang w:val="it-IT"/>
        </w:rPr>
        <w:t>a livello di</w:t>
      </w:r>
      <w:r w:rsidR="00031362" w:rsidRPr="00656794">
        <w:rPr>
          <w:rFonts w:ascii="Arial" w:hAnsi="Arial" w:cs="Arial"/>
          <w:color w:val="000000"/>
          <w:sz w:val="20"/>
          <w:szCs w:val="20"/>
          <w:lang w:val="it-IT"/>
        </w:rPr>
        <w:t xml:space="preserve"> costi </w:t>
      </w:r>
      <w:r w:rsidR="00AC4CF1">
        <w:rPr>
          <w:rFonts w:ascii="Arial" w:hAnsi="Arial" w:cs="Arial"/>
          <w:color w:val="000000"/>
          <w:sz w:val="20"/>
          <w:szCs w:val="20"/>
          <w:lang w:val="it-IT"/>
        </w:rPr>
        <w:t>per la gestione di</w:t>
      </w:r>
      <w:r w:rsidR="00031362" w:rsidRPr="00656794">
        <w:rPr>
          <w:rFonts w:ascii="Arial" w:hAnsi="Arial" w:cs="Arial"/>
          <w:color w:val="000000"/>
          <w:sz w:val="20"/>
          <w:szCs w:val="20"/>
          <w:lang w:val="it-IT"/>
        </w:rPr>
        <w:t xml:space="preserve"> questo portafoglio insieme a</w:t>
      </w:r>
      <w:r w:rsidR="00AC4CF1">
        <w:rPr>
          <w:rFonts w:ascii="Arial" w:hAnsi="Arial" w:cs="Arial"/>
          <w:color w:val="000000"/>
          <w:sz w:val="20"/>
          <w:szCs w:val="20"/>
          <w:lang w:val="it-IT"/>
        </w:rPr>
        <w:t xml:space="preserve">lle attività di </w:t>
      </w:r>
      <w:r w:rsidR="008A525A" w:rsidRPr="00656794">
        <w:rPr>
          <w:rFonts w:ascii="Arial" w:hAnsi="Arial" w:cs="Arial"/>
          <w:color w:val="000000"/>
          <w:sz w:val="20"/>
          <w:szCs w:val="20"/>
          <w:lang w:val="it-IT"/>
        </w:rPr>
        <w:t>unit-linked</w:t>
      </w:r>
      <w:r w:rsidR="00031362" w:rsidRPr="00656794">
        <w:rPr>
          <w:rFonts w:ascii="Arial" w:hAnsi="Arial" w:cs="Arial"/>
          <w:color w:val="000000"/>
          <w:sz w:val="20"/>
          <w:szCs w:val="20"/>
          <w:lang w:val="it-IT"/>
        </w:rPr>
        <w:t xml:space="preserve"> </w:t>
      </w:r>
      <w:r w:rsidR="00AC4CF1" w:rsidRPr="00656794">
        <w:rPr>
          <w:rFonts w:ascii="Arial" w:hAnsi="Arial" w:cs="Arial"/>
          <w:color w:val="000000"/>
          <w:sz w:val="20"/>
          <w:szCs w:val="20"/>
          <w:lang w:val="it-IT"/>
        </w:rPr>
        <w:t>esistent</w:t>
      </w:r>
      <w:r w:rsidR="00AC4CF1">
        <w:rPr>
          <w:rFonts w:ascii="Arial" w:hAnsi="Arial" w:cs="Arial"/>
          <w:color w:val="000000"/>
          <w:sz w:val="20"/>
          <w:szCs w:val="20"/>
          <w:lang w:val="it-IT"/>
        </w:rPr>
        <w:t>i</w:t>
      </w:r>
      <w:r w:rsidR="00031362" w:rsidRPr="00656794">
        <w:rPr>
          <w:rFonts w:ascii="Arial" w:hAnsi="Arial" w:cs="Arial"/>
          <w:color w:val="000000"/>
          <w:sz w:val="20"/>
          <w:szCs w:val="20"/>
          <w:lang w:val="it-IT"/>
        </w:rPr>
        <w:t>.</w:t>
      </w:r>
    </w:p>
    <w:p w14:paraId="58F14F01" w14:textId="7D0CC379"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Non vi è alcun cambiamento nella nuova strategia commerciale per </w:t>
      </w:r>
      <w:r w:rsidR="00AC4CF1" w:rsidRPr="00AC4CF1">
        <w:rPr>
          <w:rFonts w:ascii="Arial" w:hAnsi="Arial" w:cs="Arial"/>
          <w:color w:val="000000"/>
          <w:sz w:val="20"/>
          <w:szCs w:val="20"/>
          <w:lang w:val="it-IT"/>
        </w:rPr>
        <w:t>il portafoglio assicurativo italiano unit-linked</w:t>
      </w:r>
      <w:r w:rsidR="00AC4CF1" w:rsidRPr="00AC4CF1" w:rsidDel="00AC4CF1">
        <w:rPr>
          <w:rFonts w:ascii="Arial" w:hAnsi="Arial" w:cs="Arial"/>
          <w:color w:val="000000"/>
          <w:sz w:val="20"/>
          <w:szCs w:val="20"/>
          <w:lang w:val="it-IT"/>
        </w:rPr>
        <w:t xml:space="preserve"> </w:t>
      </w:r>
      <w:r w:rsidRPr="00656794">
        <w:rPr>
          <w:rFonts w:ascii="Arial" w:hAnsi="Arial" w:cs="Arial"/>
          <w:color w:val="000000"/>
          <w:sz w:val="20"/>
          <w:szCs w:val="20"/>
          <w:lang w:val="it-IT"/>
        </w:rPr>
        <w:t>per effetto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che rimane</w:t>
      </w:r>
      <w:r w:rsidR="00626E3B">
        <w:rPr>
          <w:rFonts w:ascii="Arial" w:hAnsi="Arial" w:cs="Arial"/>
          <w:color w:val="000000"/>
          <w:sz w:val="20"/>
          <w:szCs w:val="20"/>
          <w:lang w:val="it-IT"/>
        </w:rPr>
        <w:t xml:space="preserve"> in run-off</w:t>
      </w:r>
      <w:r w:rsidRPr="00656794">
        <w:rPr>
          <w:rFonts w:ascii="Arial" w:hAnsi="Arial" w:cs="Arial"/>
          <w:color w:val="000000"/>
          <w:sz w:val="20"/>
          <w:szCs w:val="20"/>
          <w:lang w:val="it-IT"/>
        </w:rPr>
        <w:t>. ZIL e ZLAP intendono restare aperte a nuove attività e ciò non cambierà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4302A521" w14:textId="519A44FC" w:rsidR="00031362" w:rsidRPr="00656794" w:rsidRDefault="00031362" w:rsidP="00A32633">
      <w:pPr>
        <w:spacing w:before="279"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5.10 </w:t>
      </w:r>
      <w:r w:rsidR="00A32633" w:rsidRPr="00656794">
        <w:rPr>
          <w:rFonts w:ascii="Arial" w:eastAsia="Times New Roman" w:hAnsi="Arial" w:cs="Arial"/>
          <w:b/>
          <w:bCs/>
          <w:color w:val="00338D"/>
          <w:sz w:val="28"/>
          <w:szCs w:val="28"/>
          <w:lang w:val="it-IT" w:eastAsia="en-IE"/>
        </w:rPr>
        <w:t>Gestione del rischio</w:t>
      </w:r>
      <w:r w:rsidRPr="00656794">
        <w:rPr>
          <w:rFonts w:ascii="Arial" w:eastAsia="Times New Roman" w:hAnsi="Arial" w:cs="Arial"/>
          <w:b/>
          <w:bCs/>
          <w:color w:val="00338D"/>
          <w:sz w:val="28"/>
          <w:szCs w:val="28"/>
          <w:lang w:val="it-IT" w:eastAsia="en-IE"/>
        </w:rPr>
        <w:t> </w:t>
      </w:r>
    </w:p>
    <w:p w14:paraId="254474B8" w14:textId="2C08B00A"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Entrambe le entità dispongono di un quadro completo di gestione del rischio, che riflette i requisiti sia del regime Solvency II che delle rispettive autorità di regolamentazione. Non sono previste modifiche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di gestione del rischio di entrambe le entità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7A6D99FD" w14:textId="37229749" w:rsidR="00031362" w:rsidRPr="00656794" w:rsidRDefault="00031362" w:rsidP="00A32633">
      <w:pPr>
        <w:spacing w:before="280"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5.11 </w:t>
      </w:r>
      <w:r w:rsidR="00A32633" w:rsidRPr="00656794">
        <w:rPr>
          <w:rFonts w:ascii="Arial" w:eastAsia="Times New Roman" w:hAnsi="Arial" w:cs="Arial"/>
          <w:b/>
          <w:bCs/>
          <w:color w:val="00338D"/>
          <w:sz w:val="28"/>
          <w:szCs w:val="28"/>
          <w:lang w:val="it-IT" w:eastAsia="en-IE"/>
        </w:rPr>
        <w:t>Esercizio delle opzioni</w:t>
      </w:r>
      <w:r w:rsidRPr="00656794">
        <w:rPr>
          <w:rFonts w:ascii="Arial" w:eastAsia="Times New Roman" w:hAnsi="Arial" w:cs="Arial"/>
          <w:b/>
          <w:bCs/>
          <w:color w:val="00338D"/>
          <w:sz w:val="28"/>
          <w:szCs w:val="28"/>
          <w:lang w:val="it-IT" w:eastAsia="en-IE"/>
        </w:rPr>
        <w:t> </w:t>
      </w:r>
    </w:p>
    <w:p w14:paraId="47FCC3C7" w14:textId="5C4AC444"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Eventuali opzioni di polizza attualmente esistenti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ambito delle polizze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continueranno ad esistere e non sono previste modifiche al riguardo. Non sono previste modifiche alle opzioni delle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xml:space="preserve"> di altre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xml:space="preserve"> di entrambe le entità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26BF09BF" w14:textId="3BAE48D5" w:rsidR="00031362" w:rsidRPr="00656794" w:rsidRDefault="00031362" w:rsidP="00A32633">
      <w:pPr>
        <w:spacing w:before="280"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5.12 </w:t>
      </w:r>
      <w:r w:rsidR="00A32633" w:rsidRPr="00656794">
        <w:rPr>
          <w:rFonts w:ascii="Arial" w:eastAsia="Times New Roman" w:hAnsi="Arial" w:cs="Arial"/>
          <w:b/>
          <w:bCs/>
          <w:color w:val="00338D"/>
          <w:sz w:val="28"/>
          <w:szCs w:val="28"/>
          <w:lang w:val="it-IT" w:eastAsia="en-IE"/>
        </w:rPr>
        <w:t>Accordi amministrativi</w:t>
      </w:r>
      <w:r w:rsidRPr="00656794">
        <w:rPr>
          <w:rFonts w:ascii="Arial" w:eastAsia="Times New Roman" w:hAnsi="Arial" w:cs="Arial"/>
          <w:b/>
          <w:bCs/>
          <w:color w:val="00338D"/>
          <w:sz w:val="28"/>
          <w:szCs w:val="28"/>
          <w:lang w:val="it-IT" w:eastAsia="en-IE"/>
        </w:rPr>
        <w:t> </w:t>
      </w:r>
    </w:p>
    <w:p w14:paraId="30A8BF63" w14:textId="50BF4EF7"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Alla </w:t>
      </w:r>
      <w:r w:rsidR="00DB4C55">
        <w:rPr>
          <w:rFonts w:ascii="Arial" w:hAnsi="Arial" w:cs="Arial"/>
          <w:color w:val="000000"/>
          <w:sz w:val="20"/>
          <w:szCs w:val="20"/>
          <w:lang w:val="it-IT"/>
        </w:rPr>
        <w:t>Data di trasferimento effettiva</w:t>
      </w:r>
      <w:r w:rsidRPr="00656794">
        <w:rPr>
          <w:rFonts w:ascii="Arial" w:hAnsi="Arial" w:cs="Arial"/>
          <w:color w:val="000000"/>
          <w:sz w:val="20"/>
          <w:szCs w:val="20"/>
          <w:lang w:val="it-IT"/>
        </w:rPr>
        <w:t xml:space="preserve">, si intende che il fornitore di amministrazione esistente Capita sarà sostituito da un fornitore di amministrazione alternativo, Previnet, </w:t>
      </w:r>
      <w:r w:rsidR="00DB178A">
        <w:rPr>
          <w:rFonts w:ascii="Arial" w:hAnsi="Arial" w:cs="Arial"/>
          <w:color w:val="000000"/>
          <w:sz w:val="20"/>
          <w:szCs w:val="20"/>
          <w:lang w:val="it-IT"/>
        </w:rPr>
        <w:t>che risulta essere il fornitore di servizi in outsourcing</w:t>
      </w:r>
      <w:r w:rsidRPr="00656794">
        <w:rPr>
          <w:rFonts w:ascii="Arial" w:hAnsi="Arial" w:cs="Arial"/>
          <w:color w:val="000000"/>
          <w:sz w:val="20"/>
          <w:szCs w:val="20"/>
          <w:lang w:val="it-IT"/>
        </w:rPr>
        <w:t xml:space="preserve"> scelto per questo </w:t>
      </w:r>
      <w:r w:rsidR="00D20690">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ed è un fornitore di servizi in outsourcing affermato a livello europeo. Previnet offre soluzioni aziendali in outsourcing su misura per i settori assicurativo e finanziario, comprese compagnie assicurative, regimi pensionistici, fondi comuni di investimento e custodi globali (tra gli altri).</w:t>
      </w:r>
    </w:p>
    <w:p w14:paraId="54C304B7" w14:textId="5645348B" w:rsidR="00031362" w:rsidRPr="00656794" w:rsidRDefault="00A32633"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È</w:t>
      </w:r>
      <w:r w:rsidR="00031362" w:rsidRPr="00656794">
        <w:rPr>
          <w:rFonts w:ascii="Arial" w:hAnsi="Arial" w:cs="Arial"/>
          <w:color w:val="000000"/>
          <w:sz w:val="20"/>
          <w:szCs w:val="20"/>
          <w:lang w:val="it-IT"/>
        </w:rPr>
        <w:t xml:space="preserve"> in corso un progetto di migrazione dei servizi amministrativi da Capita a Previnet, con l</w:t>
      </w:r>
      <w:r w:rsidR="00F23A40" w:rsidRPr="00656794">
        <w:rPr>
          <w:rFonts w:ascii="Arial" w:hAnsi="Arial" w:cs="Arial"/>
          <w:color w:val="000000"/>
          <w:sz w:val="20"/>
          <w:szCs w:val="20"/>
          <w:lang w:val="it-IT"/>
        </w:rPr>
        <w:t>’</w:t>
      </w:r>
      <w:r w:rsidR="00031362" w:rsidRPr="00656794">
        <w:rPr>
          <w:rFonts w:ascii="Arial" w:hAnsi="Arial" w:cs="Arial"/>
          <w:color w:val="000000"/>
          <w:sz w:val="20"/>
          <w:szCs w:val="20"/>
          <w:lang w:val="it-IT"/>
        </w:rPr>
        <w:t xml:space="preserve">intento di completarlo entro la </w:t>
      </w:r>
      <w:r w:rsidR="00DB414C">
        <w:rPr>
          <w:rFonts w:ascii="Arial" w:hAnsi="Arial" w:cs="Arial"/>
          <w:color w:val="000000"/>
          <w:sz w:val="20"/>
          <w:szCs w:val="20"/>
          <w:lang w:val="it-IT"/>
        </w:rPr>
        <w:t>Data di trasferimento effettiva</w:t>
      </w:r>
      <w:r w:rsidR="00031362" w:rsidRPr="00656794">
        <w:rPr>
          <w:rFonts w:ascii="Arial" w:hAnsi="Arial" w:cs="Arial"/>
          <w:color w:val="000000"/>
          <w:sz w:val="20"/>
          <w:szCs w:val="20"/>
          <w:lang w:val="it-IT"/>
        </w:rPr>
        <w:t>. Si tratta di un progetto complesso, che richiede uno sforzo significativo da parte di Capita, Previnet, ZLAP e ZIL. È necessario uno sforzo considerevole per garantire che la qualità del servizio sia mantenuta durante la transizione e che la conoscenza sia trasferita in modo da mantenere la qualità del servizio dopo la transizione.</w:t>
      </w:r>
    </w:p>
    <w:p w14:paraId="5898D2D2" w14:textId="472A00B7"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Il </w:t>
      </w:r>
      <w:r w:rsidR="00422DB7">
        <w:rPr>
          <w:rFonts w:ascii="Arial" w:hAnsi="Arial" w:cs="Arial"/>
          <w:color w:val="000000"/>
          <w:sz w:val="20"/>
          <w:szCs w:val="20"/>
          <w:lang w:val="it-IT"/>
        </w:rPr>
        <w:t>portafoglio assicurativo italiano</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di ZLAP </w:t>
      </w:r>
      <w:r w:rsidR="00AA1E68">
        <w:rPr>
          <w:rFonts w:ascii="Arial" w:hAnsi="Arial" w:cs="Arial"/>
          <w:color w:val="000000"/>
          <w:sz w:val="20"/>
          <w:szCs w:val="20"/>
          <w:lang w:val="it-IT"/>
        </w:rPr>
        <w:t>è attualmente gestito</w:t>
      </w:r>
      <w:r w:rsidRPr="00656794">
        <w:rPr>
          <w:rFonts w:ascii="Arial" w:hAnsi="Arial" w:cs="Arial"/>
          <w:color w:val="000000"/>
          <w:sz w:val="20"/>
          <w:szCs w:val="20"/>
          <w:lang w:val="it-IT"/>
        </w:rPr>
        <w:t xml:space="preserve"> nei sistemi di amministrazione Life400 e ZLife e, come parte </w:t>
      </w:r>
      <w:r w:rsidR="005B7BBB" w:rsidRPr="00656794">
        <w:rPr>
          <w:rFonts w:ascii="Arial" w:hAnsi="Arial" w:cs="Arial"/>
          <w:color w:val="000000"/>
          <w:sz w:val="20"/>
          <w:szCs w:val="20"/>
          <w:lang w:val="it-IT"/>
        </w:rPr>
        <w:t>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w:t>
      </w:r>
      <w:r w:rsidR="007E7E49">
        <w:rPr>
          <w:rFonts w:ascii="Arial" w:hAnsi="Arial" w:cs="Arial"/>
          <w:color w:val="000000"/>
          <w:sz w:val="20"/>
          <w:szCs w:val="20"/>
          <w:lang w:val="it-IT"/>
        </w:rPr>
        <w:t>entrambe le componenti</w:t>
      </w:r>
      <w:r w:rsidRPr="00656794">
        <w:rPr>
          <w:rFonts w:ascii="Arial" w:hAnsi="Arial" w:cs="Arial"/>
          <w:color w:val="000000"/>
          <w:sz w:val="20"/>
          <w:szCs w:val="20"/>
          <w:lang w:val="it-IT"/>
        </w:rPr>
        <w:t xml:space="preserve"> stanno migrando a Previnet.</w:t>
      </w:r>
    </w:p>
    <w:p w14:paraId="2F7479C6" w14:textId="1480256E"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È stato istituito un gruppo di progetto che include rappresentanti di ZLAP, ZIL e Previnet </w:t>
      </w:r>
      <w:r w:rsidR="00DC26E1">
        <w:rPr>
          <w:rFonts w:ascii="Arial" w:hAnsi="Arial" w:cs="Arial"/>
          <w:color w:val="000000"/>
          <w:sz w:val="20"/>
          <w:szCs w:val="20"/>
          <w:lang w:val="it-IT"/>
        </w:rPr>
        <w:t>che ha l’obiettivo di</w:t>
      </w:r>
      <w:r w:rsidR="00DC26E1"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garantire </w:t>
      </w:r>
      <w:r w:rsidR="003F4938">
        <w:rPr>
          <w:rFonts w:ascii="Arial" w:hAnsi="Arial" w:cs="Arial"/>
          <w:color w:val="000000"/>
          <w:sz w:val="20"/>
          <w:szCs w:val="20"/>
          <w:lang w:val="it-IT"/>
        </w:rPr>
        <w:t>una</w:t>
      </w:r>
      <w:r w:rsidR="00DC26E1">
        <w:rPr>
          <w:rFonts w:ascii="Arial" w:hAnsi="Arial" w:cs="Arial"/>
          <w:color w:val="000000"/>
          <w:sz w:val="20"/>
          <w:szCs w:val="20"/>
          <w:lang w:val="it-IT"/>
        </w:rPr>
        <w:t xml:space="preserve"> corretta</w:t>
      </w:r>
      <w:r w:rsidR="003F4938"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transizione delle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xml:space="preserve">. Il completamento del progetto in linea con il </w:t>
      </w:r>
      <w:r w:rsidR="00DC26E1">
        <w:rPr>
          <w:rFonts w:ascii="Arial" w:hAnsi="Arial" w:cs="Arial"/>
          <w:color w:val="000000"/>
          <w:sz w:val="20"/>
          <w:szCs w:val="20"/>
          <w:lang w:val="it-IT"/>
        </w:rPr>
        <w:t xml:space="preserve">piano </w:t>
      </w:r>
      <w:r w:rsidRPr="00656794">
        <w:rPr>
          <w:rFonts w:ascii="Arial" w:hAnsi="Arial" w:cs="Arial"/>
          <w:color w:val="000000"/>
          <w:sz w:val="20"/>
          <w:szCs w:val="20"/>
          <w:lang w:val="it-IT"/>
        </w:rPr>
        <w:t xml:space="preserve">del progetto è la chiave per consentire il trasferimento del portafoglio. Sono </w:t>
      </w:r>
      <w:r w:rsidR="00DC26E1">
        <w:rPr>
          <w:rFonts w:ascii="Arial" w:hAnsi="Arial" w:cs="Arial"/>
          <w:color w:val="000000"/>
          <w:sz w:val="20"/>
          <w:szCs w:val="20"/>
          <w:lang w:val="it-IT"/>
        </w:rPr>
        <w:t>inoltre già cominciati</w:t>
      </w:r>
      <w:r w:rsidRPr="00656794">
        <w:rPr>
          <w:rFonts w:ascii="Arial" w:hAnsi="Arial" w:cs="Arial"/>
          <w:color w:val="000000"/>
          <w:sz w:val="20"/>
          <w:szCs w:val="20"/>
          <w:lang w:val="it-IT"/>
        </w:rPr>
        <w:t xml:space="preserve"> i lavori per la migrazione </w:t>
      </w:r>
      <w:r w:rsidR="00DC26E1">
        <w:rPr>
          <w:rFonts w:ascii="Arial" w:hAnsi="Arial" w:cs="Arial"/>
          <w:color w:val="000000"/>
          <w:sz w:val="20"/>
          <w:szCs w:val="20"/>
          <w:lang w:val="it-IT"/>
        </w:rPr>
        <w:t>polizze</w:t>
      </w:r>
      <w:r w:rsidRPr="00656794">
        <w:rPr>
          <w:rFonts w:ascii="Arial" w:hAnsi="Arial" w:cs="Arial"/>
          <w:color w:val="000000"/>
          <w:sz w:val="20"/>
          <w:szCs w:val="20"/>
          <w:lang w:val="it-IT"/>
        </w:rPr>
        <w:t xml:space="preserve"> e, in base al</w:t>
      </w:r>
      <w:r w:rsidR="00DC26E1">
        <w:rPr>
          <w:rFonts w:ascii="Arial" w:hAnsi="Arial" w:cs="Arial"/>
          <w:color w:val="000000"/>
          <w:sz w:val="20"/>
          <w:szCs w:val="20"/>
          <w:lang w:val="it-IT"/>
        </w:rPr>
        <w:t xml:space="preserve"> calendario </w:t>
      </w:r>
      <w:r w:rsidRPr="00656794">
        <w:rPr>
          <w:rFonts w:ascii="Arial" w:hAnsi="Arial" w:cs="Arial"/>
          <w:color w:val="000000"/>
          <w:sz w:val="20"/>
          <w:szCs w:val="20"/>
          <w:lang w:val="it-IT"/>
        </w:rPr>
        <w:t xml:space="preserve">del progetto, si prevede che si protrarranno fino ad aprile 2022 prima della </w:t>
      </w:r>
      <w:r w:rsidR="003F4938">
        <w:rPr>
          <w:rFonts w:ascii="Arial" w:hAnsi="Arial" w:cs="Arial"/>
          <w:color w:val="000000"/>
          <w:sz w:val="20"/>
          <w:szCs w:val="20"/>
          <w:lang w:val="it-IT"/>
        </w:rPr>
        <w:t>d</w:t>
      </w:r>
      <w:r w:rsidR="00DB414C">
        <w:rPr>
          <w:rFonts w:ascii="Arial" w:hAnsi="Arial" w:cs="Arial"/>
          <w:color w:val="000000"/>
          <w:sz w:val="20"/>
          <w:szCs w:val="20"/>
          <w:lang w:val="it-IT"/>
        </w:rPr>
        <w:t>ata di trasferimento effettiva</w:t>
      </w:r>
      <w:r w:rsidRPr="00656794">
        <w:rPr>
          <w:rFonts w:ascii="Arial" w:hAnsi="Arial" w:cs="Arial"/>
          <w:color w:val="000000"/>
          <w:sz w:val="20"/>
          <w:szCs w:val="20"/>
          <w:lang w:val="it-IT"/>
        </w:rPr>
        <w:t>.</w:t>
      </w:r>
    </w:p>
    <w:p w14:paraId="0A907778" w14:textId="3BEC4EBD" w:rsidR="00031362" w:rsidRPr="00656794" w:rsidRDefault="00031362" w:rsidP="00A32633">
      <w:pPr>
        <w:spacing w:before="281"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5.13 </w:t>
      </w:r>
      <w:r w:rsidR="00A32633" w:rsidRPr="00656794">
        <w:rPr>
          <w:rFonts w:ascii="Arial" w:eastAsia="Times New Roman" w:hAnsi="Arial" w:cs="Arial"/>
          <w:b/>
          <w:bCs/>
          <w:color w:val="00338D"/>
          <w:sz w:val="28"/>
          <w:szCs w:val="28"/>
          <w:lang w:val="it-IT" w:eastAsia="en-IE"/>
        </w:rPr>
        <w:t>Fiscalità</w:t>
      </w:r>
    </w:p>
    <w:p w14:paraId="77E14356" w14:textId="547D5072"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Mi è stata fornita una nota riepilogativa da ZIL che espone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analisi fiscale </w:t>
      </w:r>
      <w:r w:rsidR="00A32633" w:rsidRPr="00656794">
        <w:rPr>
          <w:rFonts w:ascii="Arial" w:hAnsi="Arial" w:cs="Arial"/>
          <w:color w:val="000000"/>
          <w:sz w:val="20"/>
          <w:szCs w:val="20"/>
          <w:lang w:val="it-IT"/>
        </w:rPr>
        <w:t>sul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w:t>
      </w:r>
      <w:r w:rsidR="003F4938">
        <w:rPr>
          <w:rFonts w:ascii="Arial" w:hAnsi="Arial" w:cs="Arial"/>
          <w:color w:val="000000"/>
          <w:sz w:val="20"/>
          <w:szCs w:val="20"/>
          <w:lang w:val="it-IT"/>
        </w:rPr>
        <w:t>ribadendo</w:t>
      </w:r>
      <w:r w:rsidR="003F4938" w:rsidRPr="00656794">
        <w:rPr>
          <w:rFonts w:ascii="Arial" w:hAnsi="Arial" w:cs="Arial"/>
          <w:color w:val="000000"/>
          <w:sz w:val="20"/>
          <w:szCs w:val="20"/>
          <w:lang w:val="it-IT"/>
        </w:rPr>
        <w:t xml:space="preserve"> </w:t>
      </w:r>
      <w:r w:rsidR="00D95B49">
        <w:rPr>
          <w:rFonts w:ascii="Arial" w:hAnsi="Arial" w:cs="Arial"/>
          <w:color w:val="000000"/>
          <w:sz w:val="20"/>
          <w:szCs w:val="20"/>
          <w:lang w:val="it-IT"/>
        </w:rPr>
        <w:t>che non sono</w:t>
      </w:r>
      <w:r w:rsidRPr="00656794">
        <w:rPr>
          <w:rFonts w:ascii="Arial" w:hAnsi="Arial" w:cs="Arial"/>
          <w:color w:val="000000"/>
          <w:sz w:val="20"/>
          <w:szCs w:val="20"/>
          <w:lang w:val="it-IT"/>
        </w:rPr>
        <w:t xml:space="preserve"> un esperto fiscale.</w:t>
      </w:r>
    </w:p>
    <w:p w14:paraId="17E125B1" w14:textId="4292DDDC"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Prendo atto che per effetto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vi sarà alcun impatto sulla posizione fiscale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Non ci saranno modifiche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imposta pagata sui premi assicurativi,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imposta pagata sui redditi da capitale 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imposta pagata sui benefici in caso di morte.</w:t>
      </w:r>
    </w:p>
    <w:p w14:paraId="02C96183" w14:textId="52F195AF"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Dato che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non subiranno alcuna perdita derivante dal trattamento fiscale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non ho problemi da sollevare al riguardo.</w:t>
      </w:r>
    </w:p>
    <w:p w14:paraId="122C7B72" w14:textId="38CFBBE3" w:rsidR="00031362" w:rsidRPr="00656794" w:rsidRDefault="00031362" w:rsidP="00031362">
      <w:pPr>
        <w:pStyle w:val="NormalWeb"/>
        <w:ind w:right="102"/>
        <w:jc w:val="both"/>
        <w:rPr>
          <w:rFonts w:ascii="Arial" w:hAnsi="Arial" w:cs="Arial"/>
          <w:b/>
          <w:bCs/>
          <w:color w:val="00338D"/>
          <w:sz w:val="28"/>
          <w:szCs w:val="28"/>
          <w:lang w:val="it-IT"/>
        </w:rPr>
      </w:pPr>
      <w:r w:rsidRPr="00656794">
        <w:rPr>
          <w:rFonts w:ascii="Arial" w:hAnsi="Arial" w:cs="Arial"/>
          <w:b/>
          <w:bCs/>
          <w:color w:val="00338D"/>
          <w:sz w:val="28"/>
          <w:szCs w:val="28"/>
          <w:lang w:val="it-IT"/>
        </w:rPr>
        <w:lastRenderedPageBreak/>
        <w:t xml:space="preserve">5.14 </w:t>
      </w:r>
      <w:r w:rsidR="007F4433" w:rsidRPr="00656794">
        <w:rPr>
          <w:rFonts w:ascii="Arial" w:hAnsi="Arial" w:cs="Arial"/>
          <w:b/>
          <w:bCs/>
          <w:color w:val="00338D"/>
          <w:sz w:val="28"/>
          <w:szCs w:val="28"/>
          <w:lang w:val="it-IT"/>
        </w:rPr>
        <w:t>Costi del</w:t>
      </w:r>
      <w:r w:rsidR="00F470FD">
        <w:rPr>
          <w:rFonts w:ascii="Arial" w:hAnsi="Arial" w:cs="Arial"/>
          <w:b/>
          <w:bCs/>
          <w:color w:val="00338D"/>
          <w:sz w:val="28"/>
          <w:szCs w:val="28"/>
          <w:lang w:val="it-IT"/>
        </w:rPr>
        <w:t>l’</w:t>
      </w:r>
      <w:r w:rsidR="00AE4256">
        <w:rPr>
          <w:rFonts w:ascii="Arial" w:hAnsi="Arial" w:cs="Arial"/>
          <w:b/>
          <w:bCs/>
          <w:color w:val="00338D"/>
          <w:sz w:val="28"/>
          <w:szCs w:val="28"/>
          <w:lang w:val="it-IT"/>
        </w:rPr>
        <w:t>Atto di Trasferimento</w:t>
      </w:r>
      <w:r w:rsidR="007F4433" w:rsidRPr="00656794">
        <w:rPr>
          <w:rFonts w:ascii="Arial" w:hAnsi="Arial" w:cs="Arial"/>
          <w:b/>
          <w:bCs/>
          <w:color w:val="00338D"/>
          <w:sz w:val="28"/>
          <w:szCs w:val="28"/>
          <w:lang w:val="it-IT"/>
        </w:rPr>
        <w:t xml:space="preserve"> proposto</w:t>
      </w:r>
    </w:p>
    <w:p w14:paraId="492B5887" w14:textId="244BC299"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Tutti i costi associati alla Proposta di Trasferimento saranno a carico degli azionisti di ZLAP e ZIL, senza alcun impatto </w:t>
      </w:r>
      <w:r w:rsidR="00DC30A5">
        <w:rPr>
          <w:rFonts w:ascii="Arial" w:hAnsi="Arial" w:cs="Arial"/>
          <w:color w:val="000000"/>
          <w:sz w:val="20"/>
          <w:szCs w:val="20"/>
          <w:lang w:val="it-IT"/>
        </w:rPr>
        <w:t>sui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AD0F9C">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sui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FC47F7">
        <w:rPr>
          <w:rFonts w:ascii="Arial" w:hAnsi="Arial" w:cs="Arial"/>
          <w:color w:val="000000"/>
          <w:sz w:val="20"/>
          <w:szCs w:val="20"/>
          <w:lang w:val="it-IT"/>
        </w:rPr>
        <w:t xml:space="preserve">esistenti di </w:t>
      </w:r>
      <w:r w:rsidRPr="00656794">
        <w:rPr>
          <w:rFonts w:ascii="Arial" w:hAnsi="Arial" w:cs="Arial"/>
          <w:color w:val="000000"/>
          <w:sz w:val="20"/>
          <w:szCs w:val="20"/>
          <w:lang w:val="it-IT"/>
        </w:rPr>
        <w:t xml:space="preserve">ZIL o </w:t>
      </w:r>
      <w:r w:rsidR="00DC30A5">
        <w:rPr>
          <w:rFonts w:ascii="Arial" w:hAnsi="Arial" w:cs="Arial"/>
          <w:color w:val="000000"/>
          <w:sz w:val="20"/>
          <w:szCs w:val="20"/>
          <w:lang w:val="it-IT"/>
        </w:rPr>
        <w:t>sui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FC47F7">
        <w:rPr>
          <w:rFonts w:ascii="Arial" w:hAnsi="Arial" w:cs="Arial"/>
          <w:color w:val="000000"/>
          <w:sz w:val="20"/>
          <w:szCs w:val="20"/>
          <w:lang w:val="it-IT"/>
        </w:rPr>
        <w:t xml:space="preserve">rimanenti di </w:t>
      </w:r>
      <w:r w:rsidRPr="00656794">
        <w:rPr>
          <w:rFonts w:ascii="Arial" w:hAnsi="Arial" w:cs="Arial"/>
          <w:color w:val="000000"/>
          <w:sz w:val="20"/>
          <w:szCs w:val="20"/>
          <w:lang w:val="it-IT"/>
        </w:rPr>
        <w:t>ZLAP.</w:t>
      </w:r>
    </w:p>
    <w:p w14:paraId="1BB7781E" w14:textId="09751F68" w:rsidR="00031362" w:rsidRPr="00656794" w:rsidRDefault="00031362" w:rsidP="007F4433">
      <w:pPr>
        <w:spacing w:before="280"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5.15 </w:t>
      </w:r>
      <w:r w:rsidR="000165DF" w:rsidRPr="00656794">
        <w:rPr>
          <w:rFonts w:ascii="Arial" w:eastAsia="Times New Roman" w:hAnsi="Arial" w:cs="Arial"/>
          <w:b/>
          <w:bCs/>
          <w:color w:val="00338D"/>
          <w:sz w:val="28"/>
          <w:szCs w:val="28"/>
          <w:lang w:val="it-IT" w:eastAsia="en-IE"/>
        </w:rPr>
        <w:t xml:space="preserve">Comunicazioni agli </w:t>
      </w:r>
      <w:r w:rsidR="00DC30A5">
        <w:rPr>
          <w:rFonts w:ascii="Arial" w:eastAsia="Times New Roman" w:hAnsi="Arial" w:cs="Arial"/>
          <w:b/>
          <w:bCs/>
          <w:color w:val="00338D"/>
          <w:sz w:val="28"/>
          <w:szCs w:val="28"/>
          <w:lang w:val="it-IT" w:eastAsia="en-IE"/>
        </w:rPr>
        <w:t>contraenti</w:t>
      </w:r>
    </w:p>
    <w:p w14:paraId="03535C64" w14:textId="48A61A37"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In termini di comunicazioni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la Sezione 13 della Legge del 1909 richiede che, a meno che la Corte non disponga diversamente (e capisco che ZLAP e ZIL chiederanno la dispensa </w:t>
      </w:r>
      <w:r w:rsidR="001A6FE8">
        <w:rPr>
          <w:rFonts w:ascii="Arial" w:hAnsi="Arial" w:cs="Arial"/>
          <w:color w:val="000000"/>
          <w:sz w:val="20"/>
          <w:szCs w:val="20"/>
          <w:lang w:val="it-IT"/>
        </w:rPr>
        <w:t>della High</w:t>
      </w:r>
      <w:r w:rsidR="00B9172D">
        <w:rPr>
          <w:rFonts w:ascii="Arial" w:hAnsi="Arial" w:cs="Arial"/>
          <w:color w:val="000000"/>
          <w:sz w:val="20"/>
          <w:szCs w:val="20"/>
          <w:lang w:val="it-IT"/>
        </w:rPr>
        <w:t xml:space="preserve"> Court of Ireland</w:t>
      </w:r>
      <w:r w:rsidRPr="00656794">
        <w:rPr>
          <w:rFonts w:ascii="Arial" w:hAnsi="Arial" w:cs="Arial"/>
          <w:color w:val="000000"/>
          <w:sz w:val="20"/>
          <w:szCs w:val="20"/>
          <w:lang w:val="it-IT"/>
        </w:rPr>
        <w:t xml:space="preserve"> da questo requisito), determinati materiali devono essere trasmessi a ciascun </w:t>
      </w:r>
      <w:r w:rsidR="000640ED">
        <w:rPr>
          <w:rFonts w:ascii="Arial" w:hAnsi="Arial" w:cs="Arial"/>
          <w:color w:val="000000"/>
          <w:sz w:val="20"/>
          <w:szCs w:val="20"/>
          <w:lang w:val="it-IT"/>
        </w:rPr>
        <w:t>contraente</w:t>
      </w:r>
      <w:r w:rsidRPr="00656794">
        <w:rPr>
          <w:rFonts w:ascii="Arial" w:hAnsi="Arial" w:cs="Arial"/>
          <w:color w:val="000000"/>
          <w:sz w:val="20"/>
          <w:szCs w:val="20"/>
          <w:lang w:val="it-IT"/>
        </w:rPr>
        <w:t xml:space="preserve"> di ciascuna Società. Faccio notare che:</w:t>
      </w:r>
    </w:p>
    <w:p w14:paraId="300C0973" w14:textId="362EC40A"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ZLAP italiane in trasferimento sarà inviata una circolare (comprendente una lettera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amministratore delegato di ZLAP, un riepilogo dei termini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una versione sintetica del presente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una copia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avviso legale pubblicato e un documento di domande relative al trasferimento).</w:t>
      </w:r>
    </w:p>
    <w:p w14:paraId="58D33F32" w14:textId="624C54B6"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Non è intenzione di ZLAP comunicare con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ZLAP che rimarranno nella società dopo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3B2C3768" w14:textId="26754472"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Non si intende comunicare con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di </w:t>
      </w:r>
      <w:r w:rsidR="000165DF" w:rsidRPr="00656794">
        <w:rPr>
          <w:rFonts w:ascii="Arial" w:hAnsi="Arial" w:cs="Arial"/>
          <w:color w:val="000000"/>
          <w:sz w:val="20"/>
          <w:szCs w:val="20"/>
          <w:lang w:val="it-IT"/>
        </w:rPr>
        <w:t>ZIL; tuttavia,</w:t>
      </w:r>
      <w:r w:rsidRPr="00656794">
        <w:rPr>
          <w:rFonts w:ascii="Arial" w:hAnsi="Arial" w:cs="Arial"/>
          <w:color w:val="000000"/>
          <w:sz w:val="20"/>
          <w:szCs w:val="20"/>
          <w:lang w:val="it-IT"/>
        </w:rPr>
        <w:t xml:space="preserve"> le informazioni saranno disponibili sul sito web di ZIL.</w:t>
      </w:r>
    </w:p>
    <w:p w14:paraId="2A566D3F" w14:textId="357AEA49"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Oltre a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 ho preparato un</w:t>
      </w:r>
      <w:r w:rsidR="003F4938">
        <w:rPr>
          <w:rFonts w:ascii="Arial" w:hAnsi="Arial" w:cs="Arial"/>
          <w:color w:val="000000"/>
          <w:sz w:val="20"/>
          <w:szCs w:val="20"/>
          <w:lang w:val="it-IT"/>
        </w:rPr>
        <w:t>a</w:t>
      </w:r>
      <w:r w:rsidRPr="00656794">
        <w:rPr>
          <w:rFonts w:ascii="Arial" w:hAnsi="Arial" w:cs="Arial"/>
          <w:color w:val="000000"/>
          <w:sz w:val="20"/>
          <w:szCs w:val="20"/>
          <w:lang w:val="it-IT"/>
        </w:rPr>
        <w:t xml:space="preserv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xml:space="preserve"> </w:t>
      </w:r>
      <w:r w:rsidR="003F4938">
        <w:rPr>
          <w:rFonts w:ascii="Arial" w:hAnsi="Arial" w:cs="Arial"/>
          <w:color w:val="000000"/>
          <w:sz w:val="20"/>
          <w:szCs w:val="20"/>
          <w:lang w:val="it-IT"/>
        </w:rPr>
        <w:t>di Sintesi</w:t>
      </w:r>
      <w:r w:rsidR="003F4938"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che copre tutti i punti materiali e le questioni sollevate in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w:t>
      </w:r>
    </w:p>
    <w:p w14:paraId="50A9C2E8" w14:textId="66805440"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La comunicazione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AD0F9C">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conterrà la mia conclusione in qualità di Attuario Indipendente e la Relazione di Sintesi. Evidenzierà anche molto chiaramente la disponibilità </w:t>
      </w:r>
      <w:r w:rsidR="005B7BBB" w:rsidRPr="00656794">
        <w:rPr>
          <w:rFonts w:ascii="Arial" w:hAnsi="Arial" w:cs="Arial"/>
          <w:color w:val="000000"/>
          <w:sz w:val="20"/>
          <w:szCs w:val="20"/>
          <w:lang w:val="it-IT"/>
        </w:rPr>
        <w:t>della mia Relazione</w:t>
      </w:r>
      <w:r w:rsidRPr="00656794">
        <w:rPr>
          <w:rFonts w:ascii="Arial" w:hAnsi="Arial" w:cs="Arial"/>
          <w:color w:val="000000"/>
          <w:sz w:val="20"/>
          <w:szCs w:val="20"/>
          <w:lang w:val="it-IT"/>
        </w:rPr>
        <w:t xml:space="preserve"> </w:t>
      </w:r>
      <w:r w:rsidR="003F4938" w:rsidRPr="00656794">
        <w:rPr>
          <w:rFonts w:ascii="Arial" w:hAnsi="Arial" w:cs="Arial"/>
          <w:color w:val="000000"/>
          <w:sz w:val="20"/>
          <w:szCs w:val="20"/>
          <w:lang w:val="it-IT"/>
        </w:rPr>
        <w:t>complet</w:t>
      </w:r>
      <w:r w:rsidR="003F4938">
        <w:rPr>
          <w:rFonts w:ascii="Arial" w:hAnsi="Arial" w:cs="Arial"/>
          <w:color w:val="000000"/>
          <w:sz w:val="20"/>
          <w:szCs w:val="20"/>
          <w:lang w:val="it-IT"/>
        </w:rPr>
        <w:t>a</w:t>
      </w:r>
      <w:r w:rsidR="003F4938"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su richiesta e la sua disponibilità sul sito Web ZLAP. Il CBI sarà informato di questo approccio.</w:t>
      </w:r>
    </w:p>
    <w:p w14:paraId="1BA720E4" w14:textId="77777777"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Verrà pubblicato un avviso sulla Gazzetta ufficiale irlandese, </w:t>
      </w:r>
      <w:r w:rsidRPr="00110CD2">
        <w:rPr>
          <w:rFonts w:ascii="Arial" w:hAnsi="Arial" w:cs="Arial"/>
          <w:i/>
          <w:iCs/>
          <w:color w:val="000000"/>
          <w:sz w:val="20"/>
          <w:szCs w:val="20"/>
          <w:lang w:val="it-IT"/>
        </w:rPr>
        <w:t>Iris Oifigiúil</w:t>
      </w:r>
      <w:r w:rsidRPr="00656794">
        <w:rPr>
          <w:rFonts w:ascii="Arial" w:hAnsi="Arial" w:cs="Arial"/>
          <w:color w:val="000000"/>
          <w:sz w:val="20"/>
          <w:szCs w:val="20"/>
          <w:lang w:val="it-IT"/>
        </w:rPr>
        <w:t>, e su due quotidiani nazionali irlandesi.</w:t>
      </w:r>
    </w:p>
    <w:p w14:paraId="75A57FCD" w14:textId="2F2D1DB7"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La maggior parte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ha sede in Italia, con un piccolo numero in altri Stati membri del SEE. ZLAP pubblicherà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avviso del trasferimento in Italia e in ogni altro Stato membro del SEE pertinente in conformità con la legge di ciascuno di tali Stati membri. ZLAP è attualmente impegnata con i suoi consulenti legali per accertare ciò che la legge richiede in ciascuno di questi Stati membri.</w:t>
      </w:r>
    </w:p>
    <w:p w14:paraId="6593E365" w14:textId="050932EF"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Esiste un numero limitato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al di fuori del SEE. Pur non essendo un requisito legale, ZLAP intende pubblicizzare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edizione internazionale del Financial Times </w:t>
      </w:r>
      <w:r w:rsidR="003F4938">
        <w:rPr>
          <w:rFonts w:ascii="Arial" w:hAnsi="Arial" w:cs="Arial"/>
          <w:color w:val="000000"/>
          <w:sz w:val="20"/>
          <w:szCs w:val="20"/>
          <w:lang w:val="it-IT"/>
        </w:rPr>
        <w:t>a favore di</w:t>
      </w:r>
      <w:r w:rsidR="003F4938"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tali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w:t>
      </w:r>
    </w:p>
    <w:p w14:paraId="29146223" w14:textId="2974CEC9" w:rsidR="00031362" w:rsidRPr="00656794" w:rsidRDefault="00031362" w:rsidP="000165DF">
      <w:pPr>
        <w:spacing w:before="283"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5.16 </w:t>
      </w:r>
      <w:r w:rsidR="000165DF" w:rsidRPr="00656794">
        <w:rPr>
          <w:rFonts w:ascii="Arial" w:eastAsia="Times New Roman" w:hAnsi="Arial" w:cs="Arial"/>
          <w:b/>
          <w:bCs/>
          <w:color w:val="00338D"/>
          <w:sz w:val="28"/>
          <w:szCs w:val="28"/>
          <w:lang w:val="it-IT" w:eastAsia="en-IE"/>
        </w:rPr>
        <w:t>Normativa applicabile</w:t>
      </w:r>
      <w:r w:rsidRPr="00656794">
        <w:rPr>
          <w:rFonts w:ascii="Arial" w:eastAsia="Times New Roman" w:hAnsi="Arial" w:cs="Arial"/>
          <w:b/>
          <w:bCs/>
          <w:color w:val="00338D"/>
          <w:sz w:val="28"/>
          <w:szCs w:val="28"/>
          <w:lang w:val="it-IT" w:eastAsia="en-IE"/>
        </w:rPr>
        <w:t> </w:t>
      </w:r>
    </w:p>
    <w:p w14:paraId="25ED05D4" w14:textId="5D7850CC" w:rsidR="00031362" w:rsidRPr="00656794" w:rsidRDefault="00DC30A5" w:rsidP="00031362">
      <w:pPr>
        <w:pStyle w:val="NormalWeb"/>
        <w:ind w:right="102"/>
        <w:jc w:val="both"/>
        <w:rPr>
          <w:rFonts w:ascii="Arial" w:hAnsi="Arial" w:cs="Arial"/>
          <w:color w:val="000000"/>
          <w:sz w:val="20"/>
          <w:szCs w:val="20"/>
          <w:lang w:val="it-IT"/>
        </w:rPr>
      </w:pPr>
      <w:r>
        <w:rPr>
          <w:rFonts w:ascii="Arial" w:hAnsi="Arial" w:cs="Arial"/>
          <w:color w:val="000000"/>
          <w:sz w:val="20"/>
          <w:szCs w:val="20"/>
          <w:lang w:val="it-IT"/>
        </w:rPr>
        <w:t>L’approvazione</w:t>
      </w:r>
      <w:r w:rsidR="00031362" w:rsidRPr="00656794">
        <w:rPr>
          <w:rFonts w:ascii="Arial" w:hAnsi="Arial" w:cs="Arial"/>
          <w:color w:val="000000"/>
          <w:sz w:val="20"/>
          <w:szCs w:val="20"/>
          <w:lang w:val="it-IT"/>
        </w:rPr>
        <w:t xml:space="preserv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031362" w:rsidRPr="00656794">
        <w:rPr>
          <w:rFonts w:ascii="Arial" w:hAnsi="Arial" w:cs="Arial"/>
          <w:color w:val="000000"/>
          <w:sz w:val="20"/>
          <w:szCs w:val="20"/>
          <w:lang w:val="it-IT"/>
        </w:rPr>
        <w:t xml:space="preserve"> è soggetta alle leggi irlandesi, in particolare la Sezione 13 </w:t>
      </w:r>
      <w:r w:rsidR="00C42014">
        <w:rPr>
          <w:rFonts w:ascii="Arial" w:hAnsi="Arial" w:cs="Arial"/>
          <w:color w:val="000000"/>
          <w:sz w:val="20"/>
          <w:szCs w:val="20"/>
          <w:lang w:val="it-IT"/>
        </w:rPr>
        <w:t>della Legge 1909 delle Imprese di Assicurazione</w:t>
      </w:r>
      <w:r w:rsidR="00031362" w:rsidRPr="00656794">
        <w:rPr>
          <w:rFonts w:ascii="Arial" w:hAnsi="Arial" w:cs="Arial"/>
          <w:color w:val="000000"/>
          <w:sz w:val="20"/>
          <w:szCs w:val="20"/>
          <w:lang w:val="it-IT"/>
        </w:rPr>
        <w:t xml:space="preserve">, la Sezione 36 </w:t>
      </w:r>
      <w:r w:rsidR="00C42014">
        <w:rPr>
          <w:rFonts w:ascii="Arial" w:hAnsi="Arial" w:cs="Arial"/>
          <w:color w:val="000000"/>
          <w:sz w:val="20"/>
          <w:szCs w:val="20"/>
          <w:lang w:val="it-IT"/>
        </w:rPr>
        <w:t>della Legge 1989 sulle Assicurazioni</w:t>
      </w:r>
      <w:r w:rsidR="00031362" w:rsidRPr="00656794">
        <w:rPr>
          <w:rFonts w:ascii="Arial" w:hAnsi="Arial" w:cs="Arial"/>
          <w:color w:val="000000"/>
          <w:sz w:val="20"/>
          <w:szCs w:val="20"/>
          <w:lang w:val="it-IT"/>
        </w:rPr>
        <w:t xml:space="preserve"> e il Regolamento 41 dell</w:t>
      </w:r>
      <w:r w:rsidR="00F23A40" w:rsidRPr="00656794">
        <w:rPr>
          <w:rFonts w:ascii="Arial" w:hAnsi="Arial" w:cs="Arial"/>
          <w:color w:val="000000"/>
          <w:sz w:val="20"/>
          <w:szCs w:val="20"/>
          <w:lang w:val="it-IT"/>
        </w:rPr>
        <w:t>’</w:t>
      </w:r>
      <w:r w:rsidR="00031362" w:rsidRPr="00656794">
        <w:rPr>
          <w:rFonts w:ascii="Arial" w:hAnsi="Arial" w:cs="Arial"/>
          <w:color w:val="000000"/>
          <w:sz w:val="20"/>
          <w:szCs w:val="20"/>
          <w:lang w:val="it-IT"/>
        </w:rPr>
        <w:t>Unione Europea (</w:t>
      </w:r>
      <w:r w:rsidR="00C42014">
        <w:rPr>
          <w:rFonts w:ascii="Arial" w:hAnsi="Arial" w:cs="Arial"/>
          <w:color w:val="000000"/>
          <w:sz w:val="20"/>
          <w:szCs w:val="20"/>
          <w:lang w:val="it-IT"/>
        </w:rPr>
        <w:t>Assicurazioni e Riassicurazioni</w:t>
      </w:r>
      <w:r w:rsidR="00031362" w:rsidRPr="00656794">
        <w:rPr>
          <w:rFonts w:ascii="Arial" w:hAnsi="Arial" w:cs="Arial"/>
          <w:color w:val="000000"/>
          <w:sz w:val="20"/>
          <w:szCs w:val="20"/>
          <w:lang w:val="it-IT"/>
        </w:rPr>
        <w:t xml:space="preserve">) </w:t>
      </w:r>
      <w:r w:rsidR="00C42014">
        <w:rPr>
          <w:rFonts w:ascii="Arial" w:hAnsi="Arial" w:cs="Arial"/>
          <w:color w:val="000000"/>
          <w:sz w:val="20"/>
          <w:szCs w:val="20"/>
          <w:lang w:val="it-IT"/>
        </w:rPr>
        <w:t>del</w:t>
      </w:r>
      <w:r w:rsidR="00031362" w:rsidRPr="00656794">
        <w:rPr>
          <w:rFonts w:ascii="Arial" w:hAnsi="Arial" w:cs="Arial"/>
          <w:color w:val="000000"/>
          <w:sz w:val="20"/>
          <w:szCs w:val="20"/>
          <w:lang w:val="it-IT"/>
        </w:rPr>
        <w:t xml:space="preserve"> 2015 (SI No. 485 /2015).</w:t>
      </w:r>
    </w:p>
    <w:p w14:paraId="6AA8CD45" w14:textId="68D7BD16" w:rsidR="00031362" w:rsidRPr="00656794" w:rsidRDefault="00031362">
      <w:pPr>
        <w:rPr>
          <w:rFonts w:ascii="Arial" w:eastAsia="Times New Roman" w:hAnsi="Arial" w:cs="Arial"/>
          <w:color w:val="000000"/>
          <w:sz w:val="20"/>
          <w:szCs w:val="20"/>
          <w:lang w:val="it-IT" w:eastAsia="en-IE"/>
        </w:rPr>
      </w:pPr>
      <w:r w:rsidRPr="00656794">
        <w:rPr>
          <w:rFonts w:ascii="Arial" w:hAnsi="Arial" w:cs="Arial"/>
          <w:color w:val="000000"/>
          <w:sz w:val="20"/>
          <w:szCs w:val="20"/>
          <w:lang w:val="it-IT"/>
        </w:rPr>
        <w:br w:type="page"/>
      </w:r>
    </w:p>
    <w:p w14:paraId="1E856B1B" w14:textId="5708D547" w:rsidR="00031362" w:rsidRPr="00656794" w:rsidRDefault="00031362" w:rsidP="00D83AA4">
      <w:pPr>
        <w:spacing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56"/>
          <w:szCs w:val="56"/>
          <w:lang w:val="it-IT" w:eastAsia="en-IE"/>
        </w:rPr>
        <w:lastRenderedPageBreak/>
        <w:t xml:space="preserve">6 </w:t>
      </w:r>
      <w:r w:rsidR="00F55C1E" w:rsidRPr="00656794">
        <w:rPr>
          <w:rFonts w:ascii="Arial" w:eastAsia="Times New Roman" w:hAnsi="Arial" w:cs="Arial"/>
          <w:b/>
          <w:bCs/>
          <w:color w:val="00338D"/>
          <w:sz w:val="56"/>
          <w:szCs w:val="56"/>
          <w:lang w:val="it-IT" w:eastAsia="en-IE"/>
        </w:rPr>
        <w:t>Considerazioni generali in</w:t>
      </w:r>
      <w:r w:rsidR="00D83AA4" w:rsidRPr="00656794">
        <w:rPr>
          <w:rFonts w:ascii="Arial" w:eastAsia="Times New Roman" w:hAnsi="Arial" w:cs="Arial"/>
          <w:b/>
          <w:bCs/>
          <w:color w:val="00338D"/>
          <w:sz w:val="56"/>
          <w:szCs w:val="56"/>
          <w:lang w:val="it-IT" w:eastAsia="en-IE"/>
        </w:rPr>
        <w:t xml:space="preserve"> </w:t>
      </w:r>
      <w:r w:rsidR="00F55C1E" w:rsidRPr="00656794">
        <w:rPr>
          <w:rFonts w:ascii="Arial" w:eastAsia="Times New Roman" w:hAnsi="Arial" w:cs="Arial"/>
          <w:b/>
          <w:bCs/>
          <w:color w:val="00338D"/>
          <w:sz w:val="56"/>
          <w:szCs w:val="56"/>
          <w:lang w:val="it-IT" w:eastAsia="en-IE"/>
        </w:rPr>
        <w:t>sede di revisione del</w:t>
      </w:r>
      <w:r w:rsidR="00F470FD">
        <w:rPr>
          <w:rFonts w:ascii="Arial" w:eastAsia="Times New Roman" w:hAnsi="Arial" w:cs="Arial"/>
          <w:b/>
          <w:bCs/>
          <w:color w:val="00338D"/>
          <w:sz w:val="56"/>
          <w:szCs w:val="56"/>
          <w:lang w:val="it-IT" w:eastAsia="en-IE"/>
        </w:rPr>
        <w:t>l’</w:t>
      </w:r>
      <w:r w:rsidR="00AE4256">
        <w:rPr>
          <w:rFonts w:ascii="Arial" w:eastAsia="Times New Roman" w:hAnsi="Arial" w:cs="Arial"/>
          <w:b/>
          <w:bCs/>
          <w:color w:val="00338D"/>
          <w:sz w:val="56"/>
          <w:szCs w:val="56"/>
          <w:lang w:val="it-IT" w:eastAsia="en-IE"/>
        </w:rPr>
        <w:t>Atto di Trasferimento</w:t>
      </w:r>
      <w:r w:rsidR="00F55C1E" w:rsidRPr="00656794">
        <w:rPr>
          <w:rFonts w:ascii="Arial" w:eastAsia="Times New Roman" w:hAnsi="Arial" w:cs="Arial"/>
          <w:b/>
          <w:bCs/>
          <w:color w:val="00338D"/>
          <w:sz w:val="56"/>
          <w:szCs w:val="56"/>
          <w:lang w:val="it-IT" w:eastAsia="en-IE"/>
        </w:rPr>
        <w:t xml:space="preserve"> proposto</w:t>
      </w:r>
    </w:p>
    <w:p w14:paraId="7F6AA8C6" w14:textId="78B1EED2" w:rsidR="00031362" w:rsidRPr="00656794" w:rsidRDefault="00031362" w:rsidP="00F55C1E">
      <w:pPr>
        <w:spacing w:before="507"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6.1 Introdu</w:t>
      </w:r>
      <w:r w:rsidR="00F55C1E" w:rsidRPr="00656794">
        <w:rPr>
          <w:rFonts w:ascii="Arial" w:eastAsia="Times New Roman" w:hAnsi="Arial" w:cs="Arial"/>
          <w:b/>
          <w:bCs/>
          <w:color w:val="00338D"/>
          <w:sz w:val="28"/>
          <w:szCs w:val="28"/>
          <w:lang w:val="it-IT" w:eastAsia="en-IE"/>
        </w:rPr>
        <w:t>zione</w:t>
      </w:r>
    </w:p>
    <w:p w14:paraId="760504AE" w14:textId="43648889"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In qualità di Attuario Indipendente, le aree chiave a mio avviso che devo considerare per i diversi gruppi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che potrebbero essere potenzialmente interessati dal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vale a dire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italiani </w:t>
      </w:r>
      <w:r w:rsidR="005C46A6">
        <w:rPr>
          <w:rFonts w:ascii="Arial" w:hAnsi="Arial" w:cs="Arial"/>
          <w:color w:val="000000"/>
          <w:sz w:val="20"/>
          <w:szCs w:val="20"/>
          <w:lang w:val="it-IT"/>
        </w:rPr>
        <w:t>nel perimetro di trasferimento</w:t>
      </w:r>
      <w:r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FC47F7">
        <w:rPr>
          <w:rFonts w:ascii="Arial" w:hAnsi="Arial" w:cs="Arial"/>
          <w:color w:val="000000"/>
          <w:sz w:val="20"/>
          <w:szCs w:val="20"/>
          <w:lang w:val="it-IT"/>
        </w:rPr>
        <w:t xml:space="preserve">esistenti di </w:t>
      </w:r>
      <w:r w:rsidRPr="00656794">
        <w:rPr>
          <w:rFonts w:ascii="Arial" w:hAnsi="Arial" w:cs="Arial"/>
          <w:color w:val="000000"/>
          <w:sz w:val="20"/>
          <w:szCs w:val="20"/>
          <w:lang w:val="it-IT"/>
        </w:rPr>
        <w:t xml:space="preserve">ZIL e </w:t>
      </w:r>
      <w:r w:rsidR="00DC30A5">
        <w:rPr>
          <w:rFonts w:ascii="Arial" w:hAnsi="Arial" w:cs="Arial"/>
          <w:color w:val="000000"/>
          <w:sz w:val="20"/>
          <w:szCs w:val="20"/>
          <w:lang w:val="it-IT"/>
        </w:rPr>
        <w:t>i contraenti</w:t>
      </w:r>
      <w:r w:rsidRPr="00656794">
        <w:rPr>
          <w:rFonts w:ascii="Arial" w:hAnsi="Arial" w:cs="Arial"/>
          <w:color w:val="000000"/>
          <w:sz w:val="20"/>
          <w:szCs w:val="20"/>
          <w:lang w:val="it-IT"/>
        </w:rPr>
        <w:t xml:space="preserve"> rimanenti </w:t>
      </w:r>
      <w:r w:rsidR="00FC47F7">
        <w:rPr>
          <w:rFonts w:ascii="Arial" w:hAnsi="Arial" w:cs="Arial"/>
          <w:color w:val="000000"/>
          <w:sz w:val="20"/>
          <w:szCs w:val="20"/>
          <w:lang w:val="it-IT"/>
        </w:rPr>
        <w:t xml:space="preserve">di </w:t>
      </w:r>
      <w:r w:rsidRPr="00656794">
        <w:rPr>
          <w:rFonts w:ascii="Arial" w:hAnsi="Arial" w:cs="Arial"/>
          <w:color w:val="000000"/>
          <w:sz w:val="20"/>
          <w:szCs w:val="20"/>
          <w:lang w:val="it-IT"/>
        </w:rPr>
        <w:t>ZLAP, sono:</w:t>
      </w:r>
    </w:p>
    <w:p w14:paraId="39917402" w14:textId="045A7ED9"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Sicurezza delle prestazioni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e</w:t>
      </w:r>
    </w:p>
    <w:p w14:paraId="1C1C40AD" w14:textId="27C88D26"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Trattamento equo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e impatto sulle loro ragionevoli aspettative, che includono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informativa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il mantenimento dei termini e delle condizioni,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uso della discrezione da parte delle aziende, i requisiti legislativi locali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amministrazione quotidiana delle polizze.</w:t>
      </w:r>
    </w:p>
    <w:p w14:paraId="377DD9D9" w14:textId="2E1A0D63"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Le considerazioni in sede di revisione </w:t>
      </w:r>
      <w:r w:rsidR="005B7BBB" w:rsidRPr="00656794">
        <w:rPr>
          <w:rFonts w:ascii="Arial" w:hAnsi="Arial" w:cs="Arial"/>
          <w:color w:val="000000"/>
          <w:sz w:val="20"/>
          <w:szCs w:val="20"/>
          <w:lang w:val="it-IT"/>
        </w:rPr>
        <w:t>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proposto sono discusse brevemente di seguito e quindi valutate nelle Sezioni 7 e 8 della presente Relazione.</w:t>
      </w:r>
    </w:p>
    <w:p w14:paraId="0C37DC90" w14:textId="38806296" w:rsidR="00031362" w:rsidRPr="00656794" w:rsidRDefault="00031362" w:rsidP="00F55C1E">
      <w:pPr>
        <w:spacing w:before="282"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6.2 </w:t>
      </w:r>
      <w:r w:rsidR="000079FB" w:rsidRPr="00656794">
        <w:rPr>
          <w:rFonts w:ascii="Arial" w:eastAsia="Times New Roman" w:hAnsi="Arial" w:cs="Arial"/>
          <w:b/>
          <w:bCs/>
          <w:color w:val="00338D"/>
          <w:sz w:val="28"/>
          <w:szCs w:val="28"/>
          <w:lang w:val="it-IT" w:eastAsia="en-IE"/>
        </w:rPr>
        <w:t xml:space="preserve">Impatto sulla sicurezza dei benefici degli </w:t>
      </w:r>
      <w:r w:rsidR="00DC30A5">
        <w:rPr>
          <w:rFonts w:ascii="Arial" w:eastAsia="Times New Roman" w:hAnsi="Arial" w:cs="Arial"/>
          <w:b/>
          <w:bCs/>
          <w:color w:val="00338D"/>
          <w:sz w:val="28"/>
          <w:szCs w:val="28"/>
          <w:lang w:val="it-IT" w:eastAsia="en-IE"/>
        </w:rPr>
        <w:t>contraenti</w:t>
      </w:r>
    </w:p>
    <w:p w14:paraId="60C0A3C5" w14:textId="2716C16F"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Gli aspetti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attività 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che potrebbero avere un impatto sulla sicurezza dei benefici per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e che dovrebbero pertanto essere considerati durante la revisione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includono:</w:t>
      </w:r>
    </w:p>
    <w:p w14:paraId="4BCFEEB1" w14:textId="2488C8B6" w:rsidR="000079FB"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Sicurezza finanziaria a seguito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attuazione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per i diversi gruppi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attraverso la considerazione della posizione patrimoniale regolamentare in Solvency II. </w:t>
      </w:r>
    </w:p>
    <w:p w14:paraId="5957B7BF" w14:textId="4E745AB9"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Prendo atto che CBI e IVASS vigilano sia su ZLAP che su ZIL rispettivamente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ambito del regime regolamentare Solvency II e che, una volta attuato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873B88">
        <w:rPr>
          <w:rFonts w:ascii="Arial" w:hAnsi="Arial" w:cs="Arial"/>
          <w:color w:val="000000"/>
          <w:sz w:val="20"/>
          <w:szCs w:val="20"/>
          <w:lang w:val="it-IT"/>
        </w:rPr>
        <w:t xml:space="preserve"> in perimetro per il trasferimento</w:t>
      </w:r>
      <w:r w:rsidRPr="00656794">
        <w:rPr>
          <w:rFonts w:ascii="Arial" w:hAnsi="Arial" w:cs="Arial"/>
          <w:color w:val="000000"/>
          <w:sz w:val="20"/>
          <w:szCs w:val="20"/>
          <w:lang w:val="it-IT"/>
        </w:rPr>
        <w:t xml:space="preserve"> saranno soggetti alla vigilanza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in ambito Solvency II.</w:t>
      </w:r>
    </w:p>
    <w:p w14:paraId="6B2AB9A9" w14:textId="147A7A1B" w:rsidR="000079FB"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Considero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finanziario dell</w:t>
      </w:r>
      <w:r w:rsidR="00F23A40" w:rsidRPr="00656794">
        <w:rPr>
          <w:rFonts w:ascii="Arial" w:hAnsi="Arial" w:cs="Arial"/>
          <w:color w:val="000000"/>
          <w:sz w:val="20"/>
          <w:szCs w:val="20"/>
          <w:lang w:val="it-IT"/>
        </w:rPr>
        <w:t>’</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che dà effetto al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ovvero ZLAP riceverà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attività di partecipazione sotto forma di capitale sociale di ZIL, che ZLAP venderà a ZIC (società madre) non appena possibile. Questa forma di pagamento </w:t>
      </w:r>
      <w:r w:rsidR="000079FB" w:rsidRPr="00656794">
        <w:rPr>
          <w:rFonts w:ascii="Arial" w:hAnsi="Arial" w:cs="Arial"/>
          <w:color w:val="000000"/>
          <w:sz w:val="20"/>
          <w:szCs w:val="20"/>
          <w:lang w:val="it-IT"/>
        </w:rPr>
        <w:t>è nota</w:t>
      </w:r>
      <w:r w:rsidRPr="00656794">
        <w:rPr>
          <w:rFonts w:ascii="Arial" w:hAnsi="Arial" w:cs="Arial"/>
          <w:color w:val="000000"/>
          <w:sz w:val="20"/>
          <w:szCs w:val="20"/>
          <w:lang w:val="it-IT"/>
        </w:rPr>
        <w:t xml:space="preserve"> come beneficio in natura. </w:t>
      </w:r>
    </w:p>
    <w:p w14:paraId="15310BE8" w14:textId="0304D34C"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Altri elementi che incidono sulla sicurezza finanziaria implicano la considerazione di:</w:t>
      </w:r>
    </w:p>
    <w:p w14:paraId="15A27DE1" w14:textId="0C2BAE4A" w:rsidR="00031362" w:rsidRPr="00656794" w:rsidRDefault="00031362" w:rsidP="000079FB">
      <w:pPr>
        <w:pStyle w:val="NormalWeb"/>
        <w:numPr>
          <w:ilvl w:val="0"/>
          <w:numId w:val="25"/>
        </w:numPr>
        <w:ind w:right="102"/>
        <w:jc w:val="both"/>
        <w:rPr>
          <w:rFonts w:ascii="Arial" w:hAnsi="Arial" w:cs="Arial"/>
          <w:color w:val="000000"/>
          <w:sz w:val="20"/>
          <w:szCs w:val="20"/>
          <w:lang w:val="it-IT"/>
        </w:rPr>
      </w:pPr>
      <w:r w:rsidRPr="00656794">
        <w:rPr>
          <w:rFonts w:ascii="Arial" w:hAnsi="Arial" w:cs="Arial"/>
          <w:color w:val="000000"/>
          <w:sz w:val="20"/>
          <w:szCs w:val="20"/>
          <w:lang w:val="it-IT"/>
        </w:rPr>
        <w:t>Prospettive di pianificazione aziendale;</w:t>
      </w:r>
    </w:p>
    <w:p w14:paraId="15C3D5DE" w14:textId="13ACF981" w:rsidR="00031362" w:rsidRPr="00656794" w:rsidRDefault="00155F09" w:rsidP="000079FB">
      <w:pPr>
        <w:pStyle w:val="NormalWeb"/>
        <w:numPr>
          <w:ilvl w:val="0"/>
          <w:numId w:val="25"/>
        </w:numPr>
        <w:ind w:right="102"/>
        <w:jc w:val="both"/>
        <w:rPr>
          <w:rFonts w:ascii="Arial" w:hAnsi="Arial" w:cs="Arial"/>
          <w:color w:val="000000"/>
          <w:sz w:val="20"/>
          <w:szCs w:val="20"/>
          <w:lang w:val="it-IT"/>
        </w:rPr>
      </w:pPr>
      <w:r>
        <w:rPr>
          <w:rFonts w:ascii="Arial" w:hAnsi="Arial" w:cs="Arial"/>
          <w:color w:val="000000"/>
          <w:sz w:val="20"/>
          <w:szCs w:val="20"/>
          <w:lang w:val="it-IT"/>
        </w:rPr>
        <w:t xml:space="preserve">Test di </w:t>
      </w:r>
      <w:r w:rsidR="00031362" w:rsidRPr="00656794">
        <w:rPr>
          <w:rFonts w:ascii="Arial" w:hAnsi="Arial" w:cs="Arial"/>
          <w:color w:val="000000"/>
          <w:sz w:val="20"/>
          <w:szCs w:val="20"/>
          <w:lang w:val="it-IT"/>
        </w:rPr>
        <w:t xml:space="preserve">Stress e </w:t>
      </w:r>
      <w:r w:rsidR="007A733D">
        <w:rPr>
          <w:rFonts w:ascii="Arial" w:hAnsi="Arial" w:cs="Arial"/>
          <w:color w:val="000000"/>
          <w:sz w:val="20"/>
          <w:szCs w:val="20"/>
          <w:lang w:val="it-IT"/>
        </w:rPr>
        <w:t>di Scenario</w:t>
      </w:r>
      <w:r w:rsidR="00031362" w:rsidRPr="00656794">
        <w:rPr>
          <w:rFonts w:ascii="Arial" w:hAnsi="Arial" w:cs="Arial"/>
          <w:color w:val="000000"/>
          <w:sz w:val="20"/>
          <w:szCs w:val="20"/>
          <w:lang w:val="it-IT"/>
        </w:rPr>
        <w:t xml:space="preserve"> su base plausibile per comprendere quanto sia robusta la posizione patrimoniale regolamentare rispetto a tali test;</w:t>
      </w:r>
    </w:p>
    <w:p w14:paraId="14F050CF" w14:textId="64DF6C00" w:rsidR="00031362" w:rsidRPr="00656794" w:rsidRDefault="00031362" w:rsidP="000079FB">
      <w:pPr>
        <w:pStyle w:val="NormalWeb"/>
        <w:numPr>
          <w:ilvl w:val="0"/>
          <w:numId w:val="25"/>
        </w:numPr>
        <w:ind w:right="102"/>
        <w:jc w:val="both"/>
        <w:rPr>
          <w:rFonts w:ascii="Arial" w:hAnsi="Arial" w:cs="Arial"/>
          <w:color w:val="000000"/>
          <w:sz w:val="20"/>
          <w:szCs w:val="20"/>
          <w:lang w:val="it-IT"/>
        </w:rPr>
      </w:pPr>
      <w:r w:rsidRPr="00656794">
        <w:rPr>
          <w:rFonts w:ascii="Arial" w:hAnsi="Arial" w:cs="Arial"/>
          <w:color w:val="000000"/>
          <w:sz w:val="20"/>
          <w:szCs w:val="20"/>
          <w:lang w:val="it-IT"/>
        </w:rPr>
        <w:t>Impatto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sui livelli di rischio in ZIL e ZLAP e se vengono creati nuovi rischi aggiuntivi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6258E0A6" w14:textId="7C6F516B" w:rsidR="00031362" w:rsidRPr="00656794" w:rsidRDefault="00031362" w:rsidP="000079FB">
      <w:pPr>
        <w:pStyle w:val="NormalWeb"/>
        <w:numPr>
          <w:ilvl w:val="0"/>
          <w:numId w:val="25"/>
        </w:numPr>
        <w:ind w:right="102"/>
        <w:jc w:val="both"/>
        <w:rPr>
          <w:rFonts w:ascii="Arial" w:hAnsi="Arial" w:cs="Arial"/>
          <w:color w:val="000000"/>
          <w:sz w:val="20"/>
          <w:szCs w:val="20"/>
          <w:lang w:val="it-IT"/>
        </w:rPr>
      </w:pPr>
      <w:r w:rsidRPr="00656794">
        <w:rPr>
          <w:rFonts w:ascii="Arial" w:hAnsi="Arial" w:cs="Arial"/>
          <w:color w:val="000000"/>
          <w:sz w:val="20"/>
          <w:szCs w:val="20"/>
          <w:lang w:val="it-IT"/>
        </w:rPr>
        <w:t>Qualità del capitale, compresi eventuali accordi di sostegno al capitale;</w:t>
      </w:r>
    </w:p>
    <w:p w14:paraId="0225D949" w14:textId="77777777" w:rsidR="000079FB"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Esami esterni/risultati di audit su aree materiali;</w:t>
      </w:r>
    </w:p>
    <w:p w14:paraId="16178EA7" w14:textId="77777777" w:rsidR="000079FB"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Prosecuzione degli accordi di riassicurazione ed eventuali problemi con le controparti riassicurative;</w:t>
      </w:r>
    </w:p>
    <w:p w14:paraId="783F0873" w14:textId="7CF31FCA"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Altri elementi tra cui la custodia dei beni; Sostegno finanziario di gruppo; e ogni altro aspetto degno di considerazione, ad es. spese, outsourcing, asset allocation strategica.</w:t>
      </w:r>
    </w:p>
    <w:p w14:paraId="08B02810" w14:textId="122FBF87" w:rsidR="007E409B" w:rsidRPr="00656794" w:rsidRDefault="00031362" w:rsidP="007E409B">
      <w:pPr>
        <w:spacing w:before="491" w:after="0" w:line="240" w:lineRule="auto"/>
        <w:ind w:right="158"/>
        <w:rPr>
          <w:rFonts w:ascii="Arial" w:eastAsia="Times New Roman" w:hAnsi="Arial" w:cs="Arial"/>
          <w:b/>
          <w:bCs/>
          <w:color w:val="00338D"/>
          <w:sz w:val="28"/>
          <w:szCs w:val="28"/>
          <w:lang w:val="it-IT" w:eastAsia="en-IE"/>
        </w:rPr>
      </w:pPr>
      <w:r w:rsidRPr="00656794">
        <w:rPr>
          <w:rFonts w:ascii="Arial" w:eastAsia="Times New Roman" w:hAnsi="Arial" w:cs="Arial"/>
          <w:b/>
          <w:bCs/>
          <w:color w:val="00338D"/>
          <w:sz w:val="28"/>
          <w:szCs w:val="28"/>
          <w:lang w:val="it-IT" w:eastAsia="en-IE"/>
        </w:rPr>
        <w:t xml:space="preserve">6.3 </w:t>
      </w:r>
      <w:r w:rsidR="007E409B" w:rsidRPr="00656794">
        <w:rPr>
          <w:rFonts w:ascii="Arial" w:eastAsia="Times New Roman" w:hAnsi="Arial" w:cs="Arial"/>
          <w:b/>
          <w:bCs/>
          <w:color w:val="00338D"/>
          <w:sz w:val="28"/>
          <w:szCs w:val="28"/>
          <w:lang w:val="it-IT" w:eastAsia="en-IE"/>
        </w:rPr>
        <w:t xml:space="preserve">Equo trattamento </w:t>
      </w:r>
      <w:r w:rsidR="00DC30A5">
        <w:rPr>
          <w:rFonts w:ascii="Arial" w:eastAsia="Times New Roman" w:hAnsi="Arial" w:cs="Arial"/>
          <w:b/>
          <w:bCs/>
          <w:color w:val="00338D"/>
          <w:sz w:val="28"/>
          <w:szCs w:val="28"/>
          <w:lang w:val="it-IT" w:eastAsia="en-IE"/>
        </w:rPr>
        <w:t>dei</w:t>
      </w:r>
      <w:r w:rsidR="00DC30A5" w:rsidRPr="00656794">
        <w:rPr>
          <w:rFonts w:ascii="Arial" w:eastAsia="Times New Roman" w:hAnsi="Arial" w:cs="Arial"/>
          <w:b/>
          <w:bCs/>
          <w:color w:val="00338D"/>
          <w:sz w:val="28"/>
          <w:szCs w:val="28"/>
          <w:lang w:val="it-IT" w:eastAsia="en-IE"/>
        </w:rPr>
        <w:t xml:space="preserve"> </w:t>
      </w:r>
      <w:r w:rsidR="00DC30A5">
        <w:rPr>
          <w:rFonts w:ascii="Arial" w:eastAsia="Times New Roman" w:hAnsi="Arial" w:cs="Arial"/>
          <w:b/>
          <w:bCs/>
          <w:color w:val="00338D"/>
          <w:sz w:val="28"/>
          <w:szCs w:val="28"/>
          <w:lang w:val="it-IT" w:eastAsia="en-IE"/>
        </w:rPr>
        <w:t>contraenti</w:t>
      </w:r>
      <w:r w:rsidR="007E409B" w:rsidRPr="00656794">
        <w:rPr>
          <w:rFonts w:ascii="Arial" w:eastAsia="Times New Roman" w:hAnsi="Arial" w:cs="Arial"/>
          <w:b/>
          <w:bCs/>
          <w:color w:val="00338D"/>
          <w:sz w:val="28"/>
          <w:szCs w:val="28"/>
          <w:lang w:val="it-IT" w:eastAsia="en-IE"/>
        </w:rPr>
        <w:t xml:space="preserve"> e impatto sulle loro ragionevoli aspettative </w:t>
      </w:r>
    </w:p>
    <w:p w14:paraId="01C97707" w14:textId="65AE155A" w:rsidR="00031362" w:rsidRPr="00656794" w:rsidRDefault="00031362" w:rsidP="007E409B">
      <w:pPr>
        <w:spacing w:before="491" w:after="0" w:line="240" w:lineRule="auto"/>
        <w:ind w:right="158"/>
        <w:rPr>
          <w:rFonts w:ascii="Arial" w:hAnsi="Arial" w:cs="Arial"/>
          <w:color w:val="000000"/>
          <w:sz w:val="20"/>
          <w:szCs w:val="20"/>
          <w:lang w:val="it-IT"/>
        </w:rPr>
      </w:pPr>
      <w:r w:rsidRPr="00656794">
        <w:rPr>
          <w:rFonts w:ascii="Arial" w:hAnsi="Arial" w:cs="Arial"/>
          <w:color w:val="000000"/>
          <w:sz w:val="20"/>
          <w:szCs w:val="20"/>
          <w:lang w:val="it-IT"/>
        </w:rPr>
        <w:t>Gli aspetti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attività 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che potrebbero avere un impatto sul trattamento equo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e sulle loro ragionevoli aspettative che dovrebbero essere considerati durante la revisione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includono, ma non sono limitati a:</w:t>
      </w:r>
    </w:p>
    <w:p w14:paraId="28E7F4BA" w14:textId="6276010C"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della polizza;</w:t>
      </w:r>
    </w:p>
    <w:p w14:paraId="65A44B5A" w14:textId="77777777"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Servizio di polizze;</w:t>
      </w:r>
    </w:p>
    <w:p w14:paraId="6AEBACFC" w14:textId="77777777"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Applicazione della discrezionalità;</w:t>
      </w:r>
    </w:p>
    <w:p w14:paraId="6E5831F6" w14:textId="77777777"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Spese e oneri;</w:t>
      </w:r>
    </w:p>
    <w:p w14:paraId="4881924B" w14:textId="4D59948E"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Costi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2DD61EB0" w14:textId="77777777"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Pratiche e approcci attuali;</w:t>
      </w:r>
    </w:p>
    <w:p w14:paraId="0A641ECE" w14:textId="64429235"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Reclami e </w:t>
      </w:r>
      <w:r w:rsidR="008E5B1C">
        <w:rPr>
          <w:rFonts w:ascii="Arial" w:hAnsi="Arial" w:cs="Arial"/>
          <w:color w:val="000000"/>
          <w:sz w:val="20"/>
          <w:szCs w:val="20"/>
          <w:lang w:val="it-IT"/>
        </w:rPr>
        <w:t>contenziosi</w:t>
      </w:r>
      <w:r w:rsidRPr="00656794">
        <w:rPr>
          <w:rFonts w:ascii="Arial" w:hAnsi="Arial" w:cs="Arial"/>
          <w:color w:val="000000"/>
          <w:sz w:val="20"/>
          <w:szCs w:val="20"/>
          <w:lang w:val="it-IT"/>
        </w:rPr>
        <w:t>; e</w:t>
      </w:r>
    </w:p>
    <w:p w14:paraId="10BAF505" w14:textId="50A65C68" w:rsidR="00031362" w:rsidRPr="00656794" w:rsidRDefault="00031362" w:rsidP="00031362">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Comunicazioni </w:t>
      </w:r>
      <w:r w:rsidR="00DC30A5">
        <w:rPr>
          <w:rFonts w:ascii="Arial" w:hAnsi="Arial" w:cs="Arial"/>
          <w:color w:val="000000"/>
          <w:sz w:val="20"/>
          <w:szCs w:val="20"/>
          <w:lang w:val="it-IT"/>
        </w:rPr>
        <w:t>ai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w:t>
      </w:r>
    </w:p>
    <w:p w14:paraId="1D1A3FDA" w14:textId="1310615E" w:rsidR="00031362" w:rsidRPr="00656794" w:rsidRDefault="00031362">
      <w:pPr>
        <w:rPr>
          <w:rFonts w:ascii="Arial" w:eastAsia="Times New Roman" w:hAnsi="Arial" w:cs="Arial"/>
          <w:color w:val="000000"/>
          <w:sz w:val="20"/>
          <w:szCs w:val="20"/>
          <w:lang w:val="it-IT" w:eastAsia="en-IE"/>
        </w:rPr>
      </w:pPr>
      <w:r w:rsidRPr="00656794">
        <w:rPr>
          <w:rFonts w:ascii="Arial" w:hAnsi="Arial" w:cs="Arial"/>
          <w:color w:val="000000"/>
          <w:sz w:val="20"/>
          <w:szCs w:val="20"/>
          <w:lang w:val="it-IT"/>
        </w:rPr>
        <w:br w:type="page"/>
      </w:r>
    </w:p>
    <w:p w14:paraId="154C726B" w14:textId="77EFE3B4" w:rsidR="00031362" w:rsidRPr="00656794" w:rsidRDefault="00031362" w:rsidP="00E13152">
      <w:pPr>
        <w:spacing w:before="473" w:after="0" w:line="240" w:lineRule="auto"/>
        <w:ind w:right="61"/>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56"/>
          <w:szCs w:val="56"/>
          <w:lang w:val="it-IT" w:eastAsia="en-IE"/>
        </w:rPr>
        <w:lastRenderedPageBreak/>
        <w:t xml:space="preserve">7 </w:t>
      </w:r>
      <w:r w:rsidR="00E13152" w:rsidRPr="00656794">
        <w:rPr>
          <w:rFonts w:ascii="Arial" w:eastAsia="Times New Roman" w:hAnsi="Arial" w:cs="Arial"/>
          <w:b/>
          <w:bCs/>
          <w:color w:val="00338D"/>
          <w:sz w:val="56"/>
          <w:szCs w:val="56"/>
          <w:lang w:val="it-IT" w:eastAsia="en-IE"/>
        </w:rPr>
        <w:t>Valutazione del</w:t>
      </w:r>
      <w:r w:rsidR="00F470FD">
        <w:rPr>
          <w:rFonts w:ascii="Arial" w:eastAsia="Times New Roman" w:hAnsi="Arial" w:cs="Arial"/>
          <w:b/>
          <w:bCs/>
          <w:color w:val="00338D"/>
          <w:sz w:val="56"/>
          <w:szCs w:val="56"/>
          <w:lang w:val="it-IT" w:eastAsia="en-IE"/>
        </w:rPr>
        <w:t>l’</w:t>
      </w:r>
      <w:r w:rsidR="00AE4256">
        <w:rPr>
          <w:rFonts w:ascii="Arial" w:eastAsia="Times New Roman" w:hAnsi="Arial" w:cs="Arial"/>
          <w:b/>
          <w:bCs/>
          <w:color w:val="00338D"/>
          <w:sz w:val="56"/>
          <w:szCs w:val="56"/>
          <w:lang w:val="it-IT" w:eastAsia="en-IE"/>
        </w:rPr>
        <w:t>Atto di Trasferimento</w:t>
      </w:r>
      <w:r w:rsidR="00E13152" w:rsidRPr="00656794">
        <w:rPr>
          <w:rFonts w:ascii="Arial" w:eastAsia="Times New Roman" w:hAnsi="Arial" w:cs="Arial"/>
          <w:b/>
          <w:bCs/>
          <w:color w:val="00338D"/>
          <w:sz w:val="56"/>
          <w:szCs w:val="56"/>
          <w:lang w:val="it-IT" w:eastAsia="en-IE"/>
        </w:rPr>
        <w:t xml:space="preserve"> sulla sicurezza finanziaria delle polizze</w:t>
      </w:r>
    </w:p>
    <w:p w14:paraId="30CE2B5E" w14:textId="3EA480B3" w:rsidR="00031362" w:rsidRPr="00656794" w:rsidRDefault="00031362" w:rsidP="00E13152">
      <w:pPr>
        <w:spacing w:before="507"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7.1 Introdu</w:t>
      </w:r>
      <w:r w:rsidR="00E13152" w:rsidRPr="00656794">
        <w:rPr>
          <w:rFonts w:ascii="Arial" w:eastAsia="Times New Roman" w:hAnsi="Arial" w:cs="Arial"/>
          <w:b/>
          <w:bCs/>
          <w:color w:val="00338D"/>
          <w:sz w:val="28"/>
          <w:szCs w:val="28"/>
          <w:lang w:val="it-IT" w:eastAsia="en-IE"/>
        </w:rPr>
        <w:t>zione</w:t>
      </w:r>
    </w:p>
    <w:p w14:paraId="2AC0E098" w14:textId="4BDF4C21"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sezione seguente considera i bilanci regolamentari pro-forma delle entità (ZLAP e ZIL) a seguito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attuazione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Commento il livello relativo di sicurezza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ZLAP italiani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in trasferimento,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di ZLAP esistenti</w:t>
      </w:r>
      <w:r w:rsidRPr="00656794">
        <w:rPr>
          <w:rFonts w:ascii="Arial" w:hAnsi="Arial" w:cs="Arial"/>
          <w:color w:val="000000"/>
          <w:sz w:val="20"/>
          <w:szCs w:val="20"/>
          <w:lang w:val="it-IT"/>
        </w:rPr>
        <w:t xml:space="preserve"> e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non trasferibili di ZLAP, considerando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del trasferimento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del regime Solvency II.</w:t>
      </w:r>
    </w:p>
    <w:p w14:paraId="4474FCD3"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 questa considerazione ho esaminato il trasferimento sia su base quantitativa che qualitativa.</w:t>
      </w:r>
    </w:p>
    <w:p w14:paraId="76741E73" w14:textId="0BFDCC09" w:rsidR="00031362"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Includo anche la discussione di altri aspetti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relativi a ZLAP e ZIL che potrebbero influire sulla sicurezza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e annoto le mie conclusioni su di essi.</w:t>
      </w:r>
    </w:p>
    <w:p w14:paraId="3807C922" w14:textId="357A6772" w:rsidR="003829D9" w:rsidRPr="00656794" w:rsidRDefault="003829D9" w:rsidP="00E13152">
      <w:pPr>
        <w:spacing w:before="282"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7.2 </w:t>
      </w:r>
      <w:r w:rsidR="00C10D47" w:rsidRPr="00656794">
        <w:rPr>
          <w:rFonts w:ascii="Arial" w:eastAsia="Times New Roman" w:hAnsi="Arial" w:cs="Arial"/>
          <w:b/>
          <w:bCs/>
          <w:color w:val="00338D"/>
          <w:sz w:val="28"/>
          <w:szCs w:val="28"/>
          <w:lang w:val="it-IT" w:eastAsia="en-IE"/>
        </w:rPr>
        <w:t>Valutazione della solidità finanziaria</w:t>
      </w:r>
    </w:p>
    <w:p w14:paraId="1DBBE296" w14:textId="083B2682" w:rsidR="003829D9" w:rsidRPr="00656794" w:rsidRDefault="003829D9" w:rsidP="00C10D47">
      <w:pPr>
        <w:spacing w:before="138"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7.2.1 Introdu</w:t>
      </w:r>
      <w:r w:rsidR="00C10D47" w:rsidRPr="00656794">
        <w:rPr>
          <w:rFonts w:ascii="Arial" w:eastAsia="Times New Roman" w:hAnsi="Arial" w:cs="Arial"/>
          <w:color w:val="00338D"/>
          <w:sz w:val="24"/>
          <w:szCs w:val="24"/>
          <w:lang w:val="it-IT" w:eastAsia="en-IE"/>
        </w:rPr>
        <w:t>zione</w:t>
      </w:r>
    </w:p>
    <w:p w14:paraId="30EF6B9E" w14:textId="64015AA6" w:rsidR="003829D9" w:rsidRPr="00656794" w:rsidRDefault="00977185"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Ho considerato la solidità patrimoniale di ZLAP e </w:t>
      </w:r>
      <w:r w:rsidR="00EF1881">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ZIL rispettivamente prima e dopo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e rispetto a tutti i gruppi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3829D9" w:rsidRPr="00656794">
        <w:rPr>
          <w:rFonts w:ascii="Arial" w:hAnsi="Arial" w:cs="Arial"/>
          <w:color w:val="000000"/>
          <w:sz w:val="20"/>
          <w:szCs w:val="20"/>
          <w:lang w:val="it-IT"/>
        </w:rPr>
        <w:t>Ho basato la mia analisi sulle informazioni finanziarie certificate più recenti al 31 dicembre 2020, inclusi i ritorni regolamentari alla CBI, i risultati pro-forma preparati al 31 dicembre 2020 e le proiezioni ORSA prodotte da entrambe le entità. Mi sono state inoltre messe a disposizione le informazioni finanziarie aggiornate al 30 giugno 2021.</w:t>
      </w:r>
    </w:p>
    <w:p w14:paraId="6C004917" w14:textId="726E2888"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Come descritto nella precedente Sezione 6,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apporterà modifiche sostanziali alle attività e alle passività di ZLAP o </w:t>
      </w:r>
      <w:r w:rsidR="00EF1881">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ZIL. Le passività oggetto di cessione sono di natura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nel senso che le attività cedute sono quelle impegnate nei confronti </w:t>
      </w:r>
      <w:r w:rsidR="00DC30A5">
        <w:rPr>
          <w:rFonts w:ascii="Arial" w:hAnsi="Arial" w:cs="Arial"/>
          <w:color w:val="000000"/>
          <w:sz w:val="20"/>
          <w:szCs w:val="20"/>
          <w:lang w:val="it-IT"/>
        </w:rPr>
        <w:t>dei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in linea con i termini e le condizioni di polizza. ZLAP riceverà un pagamento sotto forma di capitale sociale di ZIL che ZLAP venderà alla </w:t>
      </w:r>
      <w:r w:rsidR="005A3D91">
        <w:rPr>
          <w:rFonts w:ascii="Arial" w:hAnsi="Arial" w:cs="Arial"/>
          <w:color w:val="000000"/>
          <w:sz w:val="20"/>
          <w:szCs w:val="20"/>
          <w:lang w:val="it-IT"/>
        </w:rPr>
        <w:t>branch</w:t>
      </w:r>
      <w:r w:rsidRPr="00656794">
        <w:rPr>
          <w:rFonts w:ascii="Arial" w:hAnsi="Arial" w:cs="Arial"/>
          <w:color w:val="000000"/>
          <w:sz w:val="20"/>
          <w:szCs w:val="20"/>
          <w:lang w:val="it-IT"/>
        </w:rPr>
        <w:t xml:space="preserve"> italiana di ZIC non appena possibile.</w:t>
      </w:r>
    </w:p>
    <w:p w14:paraId="6200D623" w14:textId="0448D7CB"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Sia ZLAP che ZIL fanno parte di ZIG, che è ben capitalizzato con un rating di credito attuale di AA/stabile assegnato da Standard &amp; Poors. Ciò significa che le polizze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rimangono parte dello ZIG post trasferimento.</w:t>
      </w:r>
    </w:p>
    <w:p w14:paraId="12C9E624" w14:textId="7FAA81F8" w:rsidR="00977185" w:rsidRPr="00656794" w:rsidRDefault="003829D9" w:rsidP="00977185">
      <w:pPr>
        <w:spacing w:before="138" w:after="0" w:line="240" w:lineRule="auto"/>
        <w:rPr>
          <w:rFonts w:ascii="Arial" w:eastAsia="Times New Roman" w:hAnsi="Arial" w:cs="Arial"/>
          <w:color w:val="00338D"/>
          <w:sz w:val="24"/>
          <w:szCs w:val="24"/>
          <w:lang w:val="it-IT" w:eastAsia="en-IE"/>
        </w:rPr>
      </w:pPr>
      <w:r w:rsidRPr="00656794">
        <w:rPr>
          <w:rFonts w:ascii="Arial" w:eastAsia="Times New Roman" w:hAnsi="Arial" w:cs="Arial"/>
          <w:color w:val="00338D"/>
          <w:sz w:val="24"/>
          <w:szCs w:val="24"/>
          <w:lang w:val="it-IT" w:eastAsia="en-IE"/>
        </w:rPr>
        <w:t>7.2.2 Copertura di solvibilità alla data di trasferimento</w:t>
      </w:r>
    </w:p>
    <w:p w14:paraId="5F62E3C9" w14:textId="6E288429"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Come nella sezione 4.5.2 di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 xml:space="preserve">, il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è relativamente irrilevante nel contesto del bilancio più ampio di ZLAP.</w:t>
      </w:r>
    </w:p>
    <w:p w14:paraId="2E4DD581" w14:textId="6F0053CC" w:rsidR="003829D9"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Le tabelle seguenti riportano rispettivamente lo stato patrimoniale pro-forma di ZLAP e </w:t>
      </w:r>
      <w:r w:rsidR="00EF1881">
        <w:rPr>
          <w:rFonts w:ascii="Arial" w:hAnsi="Arial" w:cs="Arial"/>
          <w:color w:val="000000"/>
          <w:sz w:val="20"/>
          <w:szCs w:val="20"/>
          <w:lang w:val="it-IT"/>
        </w:rPr>
        <w:t xml:space="preserve">di </w:t>
      </w:r>
      <w:r w:rsidRPr="00656794">
        <w:rPr>
          <w:rFonts w:ascii="Arial" w:hAnsi="Arial" w:cs="Arial"/>
          <w:color w:val="000000"/>
          <w:sz w:val="20"/>
          <w:szCs w:val="20"/>
          <w:lang w:val="it-IT"/>
        </w:rPr>
        <w:t>ZIL. Tale analisi considera la copertura di solvibilità puntuale pre e post trasferimento, tenendo conto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impatto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in linea con i requisiti Solvency II, come se fosse stato attuato al 31 dicembre 2020 e al 30 giugno 2021.</w:t>
      </w:r>
    </w:p>
    <w:p w14:paraId="583E8B6A" w14:textId="77777777" w:rsidR="00EF1881" w:rsidRPr="00656794" w:rsidRDefault="00EF1881" w:rsidP="003829D9">
      <w:pPr>
        <w:pStyle w:val="NormalWeb"/>
        <w:ind w:right="102"/>
        <w:jc w:val="both"/>
        <w:rPr>
          <w:rFonts w:ascii="Arial" w:hAnsi="Arial" w:cs="Arial"/>
          <w:color w:val="000000"/>
          <w:sz w:val="20"/>
          <w:szCs w:val="20"/>
          <w:lang w:val="it-IT"/>
        </w:rPr>
      </w:pPr>
    </w:p>
    <w:tbl>
      <w:tblPr>
        <w:tblW w:w="0" w:type="auto"/>
        <w:tblCellMar>
          <w:top w:w="15" w:type="dxa"/>
          <w:left w:w="15" w:type="dxa"/>
          <w:bottom w:w="15" w:type="dxa"/>
          <w:right w:w="15" w:type="dxa"/>
        </w:tblCellMar>
        <w:tblLook w:val="04A0" w:firstRow="1" w:lastRow="0" w:firstColumn="1" w:lastColumn="0" w:noHBand="0" w:noVBand="1"/>
      </w:tblPr>
      <w:tblGrid>
        <w:gridCol w:w="2507"/>
        <w:gridCol w:w="1533"/>
        <w:gridCol w:w="1533"/>
        <w:gridCol w:w="1533"/>
        <w:gridCol w:w="1900"/>
      </w:tblGrid>
      <w:tr w:rsidR="00135773" w:rsidRPr="00867942" w14:paraId="06B4BBFE" w14:textId="77777777" w:rsidTr="00D83AA4">
        <w:trPr>
          <w:trHeight w:val="497"/>
        </w:trPr>
        <w:tc>
          <w:tcPr>
            <w:tcW w:w="9006" w:type="dxa"/>
            <w:gridSpan w:val="5"/>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35833C80" w14:textId="5EE8CE00" w:rsidR="00135773" w:rsidRPr="00656794" w:rsidRDefault="00F3153E" w:rsidP="00D83AA4">
            <w:pPr>
              <w:spacing w:after="0" w:line="240" w:lineRule="auto"/>
              <w:rPr>
                <w:rFonts w:ascii="Times New Roman" w:eastAsia="Times New Roman" w:hAnsi="Times New Roman" w:cs="Times New Roman"/>
                <w:color w:val="000000" w:themeColor="text1"/>
                <w:sz w:val="24"/>
                <w:szCs w:val="24"/>
                <w:lang w:val="it-IT" w:eastAsia="en-IE"/>
              </w:rPr>
            </w:pPr>
            <w:r w:rsidRPr="00656794">
              <w:rPr>
                <w:rFonts w:ascii="Arial" w:eastAsia="Times New Roman" w:hAnsi="Arial" w:cs="Arial"/>
                <w:b/>
                <w:bCs/>
                <w:color w:val="FFFFFF" w:themeColor="background1"/>
                <w:sz w:val="18"/>
                <w:szCs w:val="18"/>
                <w:lang w:val="it-IT" w:eastAsia="en-IE"/>
              </w:rPr>
              <w:lastRenderedPageBreak/>
              <w:t xml:space="preserve">Tabella 7.1: ZLAP </w:t>
            </w:r>
            <w:r w:rsidR="00B328F8" w:rsidRPr="00656794">
              <w:rPr>
                <w:rFonts w:ascii="Arial" w:eastAsia="Times New Roman" w:hAnsi="Arial" w:cs="Arial"/>
                <w:b/>
                <w:bCs/>
                <w:color w:val="FFFFFF" w:themeColor="background1"/>
                <w:sz w:val="18"/>
                <w:szCs w:val="18"/>
                <w:lang w:val="it-IT" w:eastAsia="en-IE"/>
              </w:rPr>
              <w:t>Proforma</w:t>
            </w:r>
            <w:r w:rsidRPr="00656794">
              <w:rPr>
                <w:rFonts w:ascii="Arial" w:eastAsia="Times New Roman" w:hAnsi="Arial" w:cs="Arial"/>
                <w:b/>
                <w:bCs/>
                <w:color w:val="FFFFFF" w:themeColor="background1"/>
                <w:sz w:val="18"/>
                <w:szCs w:val="18"/>
                <w:lang w:val="it-IT" w:eastAsia="en-IE"/>
              </w:rPr>
              <w:t xml:space="preserve"> Solvency Position al 31 dicembre 2020 e 30 giugno 2021 - €m</w:t>
            </w:r>
          </w:p>
        </w:tc>
      </w:tr>
      <w:tr w:rsidR="00135773" w:rsidRPr="00656794" w14:paraId="42D4F886" w14:textId="77777777" w:rsidTr="00D83AA4">
        <w:trPr>
          <w:trHeight w:val="424"/>
        </w:trPr>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5E9CA94F" w14:textId="77777777" w:rsidR="00135773" w:rsidRPr="00656794" w:rsidRDefault="00135773"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Componenti </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3B1811B8" w14:textId="77777777" w:rsidR="00135773" w:rsidRPr="00656794" w:rsidRDefault="00135773"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Pre</w:t>
            </w:r>
          </w:p>
          <w:p w14:paraId="256C8767" w14:textId="77777777" w:rsidR="00135773" w:rsidRPr="00656794" w:rsidRDefault="00135773"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Trasferimento</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F933FCD" w14:textId="77777777" w:rsidR="00135773" w:rsidRPr="00656794" w:rsidRDefault="00135773"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Post </w:t>
            </w:r>
          </w:p>
          <w:p w14:paraId="5F037CF4" w14:textId="77777777" w:rsidR="00135773" w:rsidRPr="00656794" w:rsidRDefault="00135773"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Trasferimento</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3DD828C" w14:textId="77777777" w:rsidR="00135773" w:rsidRPr="00656794" w:rsidRDefault="00135773"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Pre</w:t>
            </w:r>
          </w:p>
          <w:p w14:paraId="03E5E98A" w14:textId="77777777" w:rsidR="00135773" w:rsidRPr="00656794" w:rsidRDefault="00135773"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Trasferimento</w:t>
            </w:r>
          </w:p>
        </w:tc>
        <w:tc>
          <w:tcPr>
            <w:tcW w:w="190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63CFAD9" w14:textId="77777777" w:rsidR="00135773" w:rsidRPr="00656794" w:rsidRDefault="00135773"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Post </w:t>
            </w:r>
          </w:p>
          <w:p w14:paraId="0C7014A7" w14:textId="77777777" w:rsidR="00135773" w:rsidRPr="00656794" w:rsidRDefault="00135773"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Trasferimento</w:t>
            </w:r>
          </w:p>
        </w:tc>
      </w:tr>
      <w:tr w:rsidR="00135773" w:rsidRPr="00656794" w14:paraId="407F54F9" w14:textId="77777777" w:rsidTr="007D36C2">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F0CCF" w14:textId="77777777" w:rsidR="00135773" w:rsidRPr="00656794" w:rsidRDefault="00135773" w:rsidP="005F05DE">
            <w:pPr>
              <w:spacing w:after="0" w:line="240" w:lineRule="auto"/>
              <w:rPr>
                <w:rFonts w:ascii="Times New Roman" w:eastAsia="Times New Roman" w:hAnsi="Times New Roman" w:cs="Times New Roman"/>
                <w:sz w:val="24"/>
                <w:szCs w:val="24"/>
                <w:lang w:val="it-IT" w:eastAsia="en-IE"/>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B6321"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31 dicembre 2020 </w:t>
            </w:r>
          </w:p>
        </w:tc>
        <w:tc>
          <w:tcPr>
            <w:tcW w:w="330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69B44"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30 giugno 2021</w:t>
            </w:r>
          </w:p>
        </w:tc>
      </w:tr>
      <w:tr w:rsidR="00135773" w:rsidRPr="00656794" w14:paraId="6648ED79" w14:textId="77777777" w:rsidTr="007D36C2">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BA30E" w14:textId="77777777" w:rsidR="00135773" w:rsidRPr="00656794" w:rsidRDefault="00135773" w:rsidP="005F05DE">
            <w:pPr>
              <w:spacing w:after="0" w:line="240" w:lineRule="auto"/>
              <w:ind w:left="121"/>
              <w:rPr>
                <w:rFonts w:ascii="Arial" w:eastAsia="Times New Roman" w:hAnsi="Arial" w:cs="Arial"/>
                <w:b/>
                <w:bCs/>
                <w:sz w:val="20"/>
                <w:szCs w:val="20"/>
                <w:lang w:val="it-IT" w:eastAsia="en-IE"/>
              </w:rPr>
            </w:pPr>
            <w:r w:rsidRPr="00656794">
              <w:rPr>
                <w:rFonts w:ascii="Arial" w:hAnsi="Arial" w:cs="Arial"/>
                <w:b/>
                <w:bCs/>
                <w:sz w:val="20"/>
                <w:szCs w:val="20"/>
                <w:lang w:val="it-IT"/>
              </w:rPr>
              <w:t>Fondi propri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B3EAE"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851,1 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076F3"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851,1 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004AB"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866,0 </w:t>
            </w:r>
          </w:p>
        </w:tc>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FFD66"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866,0</w:t>
            </w:r>
          </w:p>
        </w:tc>
      </w:tr>
      <w:tr w:rsidR="00135773" w:rsidRPr="00656794" w14:paraId="725109BE" w14:textId="77777777" w:rsidTr="007D36C2">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B1660" w14:textId="77777777" w:rsidR="00135773" w:rsidRPr="00656794" w:rsidRDefault="00135773" w:rsidP="005F05DE">
            <w:pPr>
              <w:spacing w:after="0" w:line="240" w:lineRule="auto"/>
              <w:ind w:left="121"/>
              <w:rPr>
                <w:rFonts w:ascii="Arial" w:eastAsia="Times New Roman" w:hAnsi="Arial" w:cs="Arial"/>
                <w:sz w:val="20"/>
                <w:szCs w:val="20"/>
                <w:lang w:val="it-IT" w:eastAsia="en-IE"/>
              </w:rPr>
            </w:pPr>
            <w:r w:rsidRPr="00656794">
              <w:rPr>
                <w:rFonts w:ascii="Arial" w:hAnsi="Arial" w:cs="Arial"/>
                <w:sz w:val="20"/>
                <w:szCs w:val="20"/>
                <w:lang w:val="it-IT"/>
              </w:rPr>
              <w:t>SCR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61375"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649,6 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513EB"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653,6 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A02DA"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716,4 </w:t>
            </w:r>
          </w:p>
        </w:tc>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C2EED"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719,1</w:t>
            </w:r>
          </w:p>
        </w:tc>
      </w:tr>
      <w:tr w:rsidR="00135773" w:rsidRPr="00656794" w14:paraId="58696832" w14:textId="77777777" w:rsidTr="007D36C2">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FC173" w14:textId="77777777" w:rsidR="00135773" w:rsidRPr="00656794" w:rsidRDefault="00135773" w:rsidP="005F05DE">
            <w:pPr>
              <w:spacing w:after="0" w:line="240" w:lineRule="auto"/>
              <w:ind w:left="127"/>
              <w:rPr>
                <w:rFonts w:ascii="Arial" w:eastAsia="Times New Roman" w:hAnsi="Arial" w:cs="Arial"/>
                <w:sz w:val="20"/>
                <w:szCs w:val="20"/>
                <w:lang w:val="it-IT" w:eastAsia="en-IE"/>
              </w:rPr>
            </w:pPr>
            <w:r w:rsidRPr="00656794">
              <w:rPr>
                <w:rFonts w:ascii="Arial" w:hAnsi="Arial" w:cs="Arial"/>
                <w:sz w:val="20"/>
                <w:szCs w:val="20"/>
                <w:lang w:val="it-IT"/>
              </w:rPr>
              <w:t>Fondi propri in eccesso rispetto a SCR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D2354"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201,5 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14374"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197,5 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58F62"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149,6 </w:t>
            </w:r>
          </w:p>
        </w:tc>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A7F10"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146,9</w:t>
            </w:r>
          </w:p>
        </w:tc>
      </w:tr>
      <w:tr w:rsidR="00135773" w:rsidRPr="00656794" w14:paraId="570AC5EE" w14:textId="77777777" w:rsidTr="007D36C2">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F28C5" w14:textId="77777777" w:rsidR="00135773" w:rsidRPr="00656794" w:rsidRDefault="00135773" w:rsidP="005F05DE">
            <w:pPr>
              <w:spacing w:after="0" w:line="240" w:lineRule="auto"/>
              <w:ind w:left="119"/>
              <w:rPr>
                <w:rFonts w:ascii="Arial" w:eastAsia="Times New Roman" w:hAnsi="Arial" w:cs="Arial"/>
                <w:b/>
                <w:bCs/>
                <w:sz w:val="20"/>
                <w:szCs w:val="20"/>
                <w:lang w:val="it-IT" w:eastAsia="en-IE"/>
              </w:rPr>
            </w:pPr>
            <w:r w:rsidRPr="00656794">
              <w:rPr>
                <w:rFonts w:ascii="Arial" w:hAnsi="Arial" w:cs="Arial"/>
                <w:b/>
                <w:bCs/>
                <w:sz w:val="20"/>
                <w:szCs w:val="20"/>
                <w:lang w:val="it-IT"/>
              </w:rPr>
              <w:t>Rapporto di copertura della solvibilità</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BE8E7"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lang w:val="it-IT" w:eastAsia="en-IE"/>
              </w:rPr>
              <w:t>131%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2CFDD"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D4B57"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121% </w:t>
            </w:r>
          </w:p>
        </w:tc>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044C2" w14:textId="77777777" w:rsidR="00135773" w:rsidRPr="00656794" w:rsidRDefault="00135773" w:rsidP="005F05DE">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120%</w:t>
            </w:r>
          </w:p>
        </w:tc>
      </w:tr>
    </w:tbl>
    <w:p w14:paraId="56641DAE" w14:textId="25C1E298" w:rsidR="003829D9" w:rsidRPr="00656794" w:rsidRDefault="007D36C2" w:rsidP="00F3153E">
      <w:pPr>
        <w:spacing w:before="193" w:after="0" w:line="240" w:lineRule="auto"/>
        <w:rPr>
          <w:rFonts w:ascii="Arial" w:eastAsia="Times New Roman" w:hAnsi="Arial" w:cs="Arial"/>
          <w:color w:val="000000"/>
          <w:sz w:val="12"/>
          <w:szCs w:val="12"/>
          <w:lang w:val="it-IT" w:eastAsia="en-IE"/>
        </w:rPr>
      </w:pPr>
      <w:r w:rsidRPr="00656794">
        <w:rPr>
          <w:rFonts w:ascii="Arial" w:eastAsia="Times New Roman" w:hAnsi="Arial" w:cs="Arial"/>
          <w:color w:val="000000"/>
          <w:sz w:val="12"/>
          <w:szCs w:val="12"/>
          <w:lang w:val="it-IT" w:eastAsia="en-IE"/>
        </w:rPr>
        <w:t>Fonte: analisi ZLAP</w:t>
      </w:r>
    </w:p>
    <w:p w14:paraId="25C1D9BB" w14:textId="77777777" w:rsidR="007D36C2" w:rsidRPr="00656794" w:rsidRDefault="007D36C2" w:rsidP="00F3153E">
      <w:pPr>
        <w:spacing w:before="193" w:after="0" w:line="240" w:lineRule="auto"/>
        <w:rPr>
          <w:rFonts w:ascii="Times New Roman" w:eastAsia="Times New Roman" w:hAnsi="Times New Roman" w:cs="Times New Roman"/>
          <w:sz w:val="24"/>
          <w:szCs w:val="24"/>
          <w:lang w:val="it-IT" w:eastAsia="en-IE"/>
        </w:rPr>
      </w:pPr>
    </w:p>
    <w:tbl>
      <w:tblPr>
        <w:tblW w:w="0" w:type="auto"/>
        <w:tblCellMar>
          <w:top w:w="15" w:type="dxa"/>
          <w:left w:w="15" w:type="dxa"/>
          <w:bottom w:w="15" w:type="dxa"/>
          <w:right w:w="15" w:type="dxa"/>
        </w:tblCellMar>
        <w:tblLook w:val="04A0" w:firstRow="1" w:lastRow="0" w:firstColumn="1" w:lastColumn="0" w:noHBand="0" w:noVBand="1"/>
      </w:tblPr>
      <w:tblGrid>
        <w:gridCol w:w="2315"/>
        <w:gridCol w:w="1533"/>
        <w:gridCol w:w="1533"/>
        <w:gridCol w:w="1533"/>
        <w:gridCol w:w="2092"/>
      </w:tblGrid>
      <w:tr w:rsidR="003829D9" w:rsidRPr="00867942" w14:paraId="204AC390" w14:textId="77777777" w:rsidTr="00D83AA4">
        <w:trPr>
          <w:trHeight w:val="551"/>
        </w:trPr>
        <w:tc>
          <w:tcPr>
            <w:tcW w:w="9006" w:type="dxa"/>
            <w:gridSpan w:val="5"/>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59D37560" w14:textId="3F5B664C" w:rsidR="003829D9" w:rsidRPr="00656794" w:rsidRDefault="007D36C2" w:rsidP="00D83AA4">
            <w:pPr>
              <w:spacing w:after="0" w:line="240" w:lineRule="auto"/>
              <w:rPr>
                <w:rFonts w:ascii="Arial" w:eastAsia="Times New Roman" w:hAnsi="Arial" w:cs="Arial"/>
                <w:b/>
                <w:bCs/>
                <w:sz w:val="24"/>
                <w:szCs w:val="24"/>
                <w:lang w:val="it-IT" w:eastAsia="en-IE"/>
              </w:rPr>
            </w:pPr>
            <w:r w:rsidRPr="00656794">
              <w:rPr>
                <w:rFonts w:ascii="Arial" w:eastAsia="Times New Roman" w:hAnsi="Arial" w:cs="Arial"/>
                <w:b/>
                <w:bCs/>
                <w:color w:val="FFFFFF" w:themeColor="background1"/>
                <w:sz w:val="20"/>
                <w:szCs w:val="20"/>
                <w:lang w:val="it-IT" w:eastAsia="en-IE"/>
              </w:rPr>
              <w:t xml:space="preserve">Tabella 7.2: ZIL </w:t>
            </w:r>
            <w:r w:rsidR="00B328F8" w:rsidRPr="00656794">
              <w:rPr>
                <w:rFonts w:ascii="Arial" w:eastAsia="Times New Roman" w:hAnsi="Arial" w:cs="Arial"/>
                <w:b/>
                <w:bCs/>
                <w:color w:val="FFFFFF" w:themeColor="background1"/>
                <w:sz w:val="20"/>
                <w:szCs w:val="20"/>
                <w:lang w:val="it-IT" w:eastAsia="en-IE"/>
              </w:rPr>
              <w:t>Proforma</w:t>
            </w:r>
            <w:r w:rsidRPr="00656794">
              <w:rPr>
                <w:rFonts w:ascii="Arial" w:eastAsia="Times New Roman" w:hAnsi="Arial" w:cs="Arial"/>
                <w:b/>
                <w:bCs/>
                <w:color w:val="FFFFFF" w:themeColor="background1"/>
                <w:sz w:val="20"/>
                <w:szCs w:val="20"/>
                <w:lang w:val="it-IT" w:eastAsia="en-IE"/>
              </w:rPr>
              <w:t xml:space="preserve"> Solvency Position al 31 dicembre 2020 e 30 giugno 2021 - €m</w:t>
            </w:r>
          </w:p>
        </w:tc>
      </w:tr>
      <w:tr w:rsidR="007D36C2" w:rsidRPr="00656794" w14:paraId="2E030530" w14:textId="77777777" w:rsidTr="00D83AA4">
        <w:trPr>
          <w:trHeight w:val="424"/>
        </w:trPr>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6F3D1D10" w14:textId="4680C69A" w:rsidR="007D36C2" w:rsidRPr="00656794" w:rsidRDefault="007D36C2"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Componenti </w:t>
            </w:r>
          </w:p>
        </w:tc>
        <w:tc>
          <w:tcPr>
            <w:tcW w:w="1402"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7322A607" w14:textId="77777777" w:rsidR="007D36C2" w:rsidRPr="00656794" w:rsidRDefault="007D36C2"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Pre</w:t>
            </w:r>
          </w:p>
          <w:p w14:paraId="4EEF5811" w14:textId="13483E0D" w:rsidR="007D36C2" w:rsidRPr="00656794" w:rsidRDefault="007D36C2"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Trasferimento</w:t>
            </w:r>
          </w:p>
        </w:tc>
        <w:tc>
          <w:tcPr>
            <w:tcW w:w="146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58CB63B7" w14:textId="77777777" w:rsidR="007D36C2" w:rsidRPr="00656794" w:rsidRDefault="007D36C2"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Post </w:t>
            </w:r>
          </w:p>
          <w:p w14:paraId="0CB0C805" w14:textId="0DBD3BAD" w:rsidR="007D36C2" w:rsidRPr="00656794" w:rsidRDefault="007D36C2"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Trasferimento</w:t>
            </w:r>
          </w:p>
        </w:tc>
        <w:tc>
          <w:tcPr>
            <w:tcW w:w="140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35D022AA" w14:textId="77777777" w:rsidR="007D36C2" w:rsidRPr="00656794" w:rsidRDefault="007D36C2"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Pre</w:t>
            </w:r>
          </w:p>
          <w:p w14:paraId="2084BDCA" w14:textId="0CCE99BF" w:rsidR="007D36C2" w:rsidRPr="00656794" w:rsidRDefault="007D36C2"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Trasferimento</w:t>
            </w:r>
          </w:p>
        </w:tc>
        <w:tc>
          <w:tcPr>
            <w:tcW w:w="2092"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558831FA" w14:textId="77777777" w:rsidR="007D36C2" w:rsidRPr="00656794" w:rsidRDefault="007D36C2"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Post </w:t>
            </w:r>
          </w:p>
          <w:p w14:paraId="6A6E8C23" w14:textId="64F221DA" w:rsidR="007D36C2" w:rsidRPr="00656794" w:rsidRDefault="007D36C2"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Trasferimento</w:t>
            </w:r>
          </w:p>
        </w:tc>
      </w:tr>
      <w:tr w:rsidR="007D36C2" w:rsidRPr="00656794" w14:paraId="495DDC8C" w14:textId="77777777" w:rsidTr="007D36C2">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AE08C" w14:textId="77777777" w:rsidR="007D36C2" w:rsidRPr="00656794" w:rsidRDefault="007D36C2" w:rsidP="007D36C2">
            <w:pPr>
              <w:spacing w:after="0" w:line="240" w:lineRule="auto"/>
              <w:rPr>
                <w:rFonts w:ascii="Times New Roman" w:eastAsia="Times New Roman" w:hAnsi="Times New Roman" w:cs="Times New Roman"/>
                <w:sz w:val="24"/>
                <w:szCs w:val="24"/>
                <w:lang w:val="it-IT" w:eastAsia="en-IE"/>
              </w:rPr>
            </w:pPr>
          </w:p>
        </w:tc>
        <w:tc>
          <w:tcPr>
            <w:tcW w:w="28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53A19" w14:textId="2FC1E369"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31 dicembre 2020 </w:t>
            </w:r>
          </w:p>
        </w:tc>
        <w:tc>
          <w:tcPr>
            <w:tcW w:w="34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27F64" w14:textId="2F4F01B8"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30 giugno 2021</w:t>
            </w:r>
          </w:p>
        </w:tc>
      </w:tr>
      <w:tr w:rsidR="007D36C2" w:rsidRPr="00656794" w14:paraId="1175CEB9" w14:textId="77777777" w:rsidTr="007D36C2">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2C0B3" w14:textId="67C6EA80" w:rsidR="007D36C2" w:rsidRPr="00656794" w:rsidRDefault="007D36C2" w:rsidP="007D36C2">
            <w:pPr>
              <w:spacing w:after="0" w:line="240" w:lineRule="auto"/>
              <w:ind w:left="121"/>
              <w:rPr>
                <w:rFonts w:ascii="Times New Roman" w:eastAsia="Times New Roman" w:hAnsi="Times New Roman" w:cs="Times New Roman"/>
                <w:sz w:val="24"/>
                <w:szCs w:val="24"/>
                <w:lang w:val="it-IT" w:eastAsia="en-IE"/>
              </w:rPr>
            </w:pPr>
            <w:r w:rsidRPr="00656794">
              <w:rPr>
                <w:rFonts w:ascii="Arial" w:hAnsi="Arial" w:cs="Arial"/>
                <w:b/>
                <w:bCs/>
                <w:sz w:val="20"/>
                <w:szCs w:val="20"/>
                <w:lang w:val="it-IT"/>
              </w:rPr>
              <w:t>Fondi propri</w:t>
            </w:r>
          </w:p>
        </w:tc>
        <w:tc>
          <w:tcPr>
            <w:tcW w:w="1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764B4" w14:textId="16DDBDB8"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752,1 </w:t>
            </w:r>
          </w:p>
        </w:tc>
        <w:tc>
          <w:tcPr>
            <w:tcW w:w="1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F006A" w14:textId="303B868F"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804,1 </w:t>
            </w:r>
          </w:p>
        </w:tc>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FD719" w14:textId="6EB57E9B"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854,9 </w:t>
            </w:r>
          </w:p>
        </w:tc>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BA5D5" w14:textId="079E6AD9"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894,2</w:t>
            </w:r>
          </w:p>
        </w:tc>
      </w:tr>
      <w:tr w:rsidR="007D36C2" w:rsidRPr="00656794" w14:paraId="1E5DEC71" w14:textId="77777777" w:rsidTr="007D36C2">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849E0" w14:textId="23F350BC" w:rsidR="007D36C2" w:rsidRPr="00656794" w:rsidRDefault="007D36C2" w:rsidP="007D36C2">
            <w:pPr>
              <w:spacing w:after="0" w:line="240" w:lineRule="auto"/>
              <w:ind w:left="121"/>
              <w:rPr>
                <w:rFonts w:ascii="Times New Roman" w:eastAsia="Times New Roman" w:hAnsi="Times New Roman" w:cs="Times New Roman"/>
                <w:sz w:val="24"/>
                <w:szCs w:val="24"/>
                <w:lang w:val="it-IT" w:eastAsia="en-IE"/>
              </w:rPr>
            </w:pPr>
            <w:r w:rsidRPr="00656794">
              <w:rPr>
                <w:rFonts w:ascii="Arial" w:hAnsi="Arial" w:cs="Arial"/>
                <w:sz w:val="20"/>
                <w:szCs w:val="20"/>
                <w:lang w:val="it-IT"/>
              </w:rPr>
              <w:t>SCR</w:t>
            </w:r>
          </w:p>
        </w:tc>
        <w:tc>
          <w:tcPr>
            <w:tcW w:w="1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6F8D4" w14:textId="22FF7D94"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424,7 </w:t>
            </w:r>
          </w:p>
        </w:tc>
        <w:tc>
          <w:tcPr>
            <w:tcW w:w="1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4D0EF" w14:textId="5374EA5D"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446,7 </w:t>
            </w:r>
          </w:p>
        </w:tc>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01439" w14:textId="44FB2CDF"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437,5 </w:t>
            </w:r>
          </w:p>
        </w:tc>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4BFC5" w14:textId="36623B68"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454,4</w:t>
            </w:r>
          </w:p>
        </w:tc>
      </w:tr>
      <w:tr w:rsidR="007D36C2" w:rsidRPr="00656794" w14:paraId="69709B20" w14:textId="77777777" w:rsidTr="007D36C2">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478E7" w14:textId="197BCAF8" w:rsidR="007D36C2" w:rsidRPr="00656794" w:rsidRDefault="007D36C2" w:rsidP="007D36C2">
            <w:pPr>
              <w:spacing w:after="0" w:line="240" w:lineRule="auto"/>
              <w:ind w:left="127"/>
              <w:rPr>
                <w:rFonts w:ascii="Times New Roman" w:eastAsia="Times New Roman" w:hAnsi="Times New Roman" w:cs="Times New Roman"/>
                <w:sz w:val="24"/>
                <w:szCs w:val="24"/>
                <w:lang w:val="it-IT" w:eastAsia="en-IE"/>
              </w:rPr>
            </w:pPr>
            <w:r w:rsidRPr="00656794">
              <w:rPr>
                <w:rFonts w:ascii="Arial" w:hAnsi="Arial" w:cs="Arial"/>
                <w:sz w:val="20"/>
                <w:szCs w:val="20"/>
                <w:lang w:val="it-IT"/>
              </w:rPr>
              <w:t>Fondi propri in eccesso rispetto a SCR</w:t>
            </w:r>
          </w:p>
        </w:tc>
        <w:tc>
          <w:tcPr>
            <w:tcW w:w="1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F0532" w14:textId="033D64DA"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327,4 </w:t>
            </w:r>
          </w:p>
        </w:tc>
        <w:tc>
          <w:tcPr>
            <w:tcW w:w="1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70963" w14:textId="59FBD98A"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357,4 </w:t>
            </w:r>
          </w:p>
        </w:tc>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FD39C" w14:textId="449DAA30"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417,4 </w:t>
            </w:r>
          </w:p>
        </w:tc>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5EDCE" w14:textId="69C21585"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439,8</w:t>
            </w:r>
          </w:p>
        </w:tc>
      </w:tr>
      <w:tr w:rsidR="007D36C2" w:rsidRPr="00656794" w14:paraId="6A12A1B1" w14:textId="77777777" w:rsidTr="007D36C2">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C09AC" w14:textId="0391C57A" w:rsidR="007D36C2" w:rsidRPr="00656794" w:rsidRDefault="007D36C2" w:rsidP="007D36C2">
            <w:pPr>
              <w:spacing w:after="0" w:line="240" w:lineRule="auto"/>
              <w:ind w:left="119"/>
              <w:rPr>
                <w:rFonts w:ascii="Times New Roman" w:eastAsia="Times New Roman" w:hAnsi="Times New Roman" w:cs="Times New Roman"/>
                <w:sz w:val="24"/>
                <w:szCs w:val="24"/>
                <w:lang w:val="it-IT" w:eastAsia="en-IE"/>
              </w:rPr>
            </w:pPr>
            <w:r w:rsidRPr="00656794">
              <w:rPr>
                <w:rFonts w:ascii="Arial" w:hAnsi="Arial" w:cs="Arial"/>
                <w:b/>
                <w:bCs/>
                <w:sz w:val="20"/>
                <w:szCs w:val="20"/>
                <w:lang w:val="it-IT"/>
              </w:rPr>
              <w:t>Rapporto di copertura della solvibilità</w:t>
            </w:r>
          </w:p>
        </w:tc>
        <w:tc>
          <w:tcPr>
            <w:tcW w:w="1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BC64E" w14:textId="77777777"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lang w:val="it-IT" w:eastAsia="en-IE"/>
              </w:rPr>
              <w:t>177% </w:t>
            </w:r>
          </w:p>
        </w:tc>
        <w:tc>
          <w:tcPr>
            <w:tcW w:w="1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3685E" w14:textId="77777777"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180% </w:t>
            </w:r>
          </w:p>
        </w:tc>
        <w:tc>
          <w:tcPr>
            <w:tcW w:w="1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7A350" w14:textId="77777777"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195% </w:t>
            </w:r>
          </w:p>
        </w:tc>
        <w:tc>
          <w:tcPr>
            <w:tcW w:w="20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0DA46" w14:textId="77777777" w:rsidR="007D36C2" w:rsidRPr="00656794" w:rsidRDefault="007D36C2" w:rsidP="007D36C2">
            <w:pPr>
              <w:spacing w:after="0" w:line="240" w:lineRule="auto"/>
              <w:jc w:val="center"/>
              <w:rPr>
                <w:rFonts w:ascii="Times New Roman" w:eastAsia="Times New Roman" w:hAnsi="Times New Roman" w:cs="Times New Roman"/>
                <w:sz w:val="24"/>
                <w:szCs w:val="24"/>
                <w:lang w:val="it-IT" w:eastAsia="en-IE"/>
              </w:rPr>
            </w:pPr>
            <w:r w:rsidRPr="00656794">
              <w:rPr>
                <w:rFonts w:ascii="Arial" w:eastAsia="Times New Roman" w:hAnsi="Arial" w:cs="Arial"/>
                <w:b/>
                <w:bCs/>
                <w:color w:val="000000"/>
                <w:sz w:val="18"/>
                <w:szCs w:val="18"/>
                <w:shd w:val="clear" w:color="auto" w:fill="FFFFFF"/>
                <w:lang w:val="it-IT" w:eastAsia="en-IE"/>
              </w:rPr>
              <w:t>197%</w:t>
            </w:r>
          </w:p>
        </w:tc>
      </w:tr>
    </w:tbl>
    <w:p w14:paraId="7EE01D67" w14:textId="7FE76892" w:rsidR="003829D9" w:rsidRPr="00656794" w:rsidRDefault="00D659FF" w:rsidP="00D659FF">
      <w:pPr>
        <w:spacing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2"/>
          <w:szCs w:val="12"/>
          <w:lang w:val="it-IT" w:eastAsia="en-IE"/>
        </w:rPr>
        <w:t>Fonte: analisi ZIL e KPMG</w:t>
      </w:r>
    </w:p>
    <w:p w14:paraId="50A8C92F" w14:textId="189F6969"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Visti i risultati forniti, ho considerato di seguito gli impatti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sui vari gruppi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soffermandomi sulle informazioni relative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ultimo bilancio sottoposto a revisione al 31 dicembre 2020 e ai relativi bilanci pro-forma.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analisi e il commento sono invariati quando ci si concentra sui dati </w:t>
      </w:r>
      <w:r w:rsidR="00E54438">
        <w:rPr>
          <w:rFonts w:ascii="Arial" w:hAnsi="Arial" w:cs="Arial"/>
          <w:color w:val="000000"/>
          <w:sz w:val="20"/>
          <w:szCs w:val="20"/>
          <w:lang w:val="it-IT"/>
        </w:rPr>
        <w:t>al</w:t>
      </w:r>
      <w:r w:rsidR="00E54438"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30 giugno 2021.</w:t>
      </w:r>
    </w:p>
    <w:p w14:paraId="763AE5CA" w14:textId="52FB763F"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Si precisa 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impatto sopra evidenziato riflette la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dimensione</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del portafoglio 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al 31 dicembre 2020 e al 30 giugno 2021 ovvero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ammontare delle attività e passività associate alle polizze sottostanti cedute nonché il corrispettivo pagato a ZLAP di ZIL.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impatto effettivo del trasferimento alla </w:t>
      </w:r>
      <w:r w:rsidR="00DB414C">
        <w:rPr>
          <w:rFonts w:ascii="Arial" w:hAnsi="Arial" w:cs="Arial"/>
          <w:color w:val="000000"/>
          <w:sz w:val="20"/>
          <w:szCs w:val="20"/>
          <w:lang w:val="it-IT"/>
        </w:rPr>
        <w:t>Data di trasferimento effettiva</w:t>
      </w:r>
      <w:r w:rsidRPr="00656794">
        <w:rPr>
          <w:rFonts w:ascii="Arial" w:hAnsi="Arial" w:cs="Arial"/>
          <w:color w:val="000000"/>
          <w:sz w:val="20"/>
          <w:szCs w:val="20"/>
          <w:lang w:val="it-IT"/>
        </w:rPr>
        <w:t xml:space="preserve"> sarà leggermente diverso da quello sopra evidenziato in quanto si prevede che la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dimensione</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del portafoglio 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e la posizione patrimoniale ante trasferimento di ciascuna società cambino nel tempo.</w:t>
      </w:r>
    </w:p>
    <w:p w14:paraId="5A07AB0C" w14:textId="3D2D2425" w:rsidR="00D659FF" w:rsidRPr="00656794" w:rsidRDefault="00FC47F7" w:rsidP="00D659FF">
      <w:pPr>
        <w:spacing w:before="139" w:after="0" w:line="240" w:lineRule="auto"/>
        <w:rPr>
          <w:rFonts w:ascii="Arial" w:eastAsia="Times New Roman" w:hAnsi="Arial" w:cs="Arial"/>
          <w:color w:val="00B0F0"/>
          <w:sz w:val="20"/>
          <w:szCs w:val="20"/>
          <w:lang w:val="it-IT" w:eastAsia="en-IE"/>
        </w:rPr>
      </w:pPr>
      <w:r>
        <w:rPr>
          <w:rFonts w:ascii="Arial" w:eastAsia="Times New Roman" w:hAnsi="Arial" w:cs="Arial"/>
          <w:color w:val="00B0F0"/>
          <w:sz w:val="20"/>
          <w:szCs w:val="20"/>
          <w:lang w:val="it-IT" w:eastAsia="en-IE"/>
        </w:rPr>
        <w:t xml:space="preserve">Trasferimento </w:t>
      </w:r>
      <w:r w:rsidR="00DC30A5">
        <w:rPr>
          <w:rFonts w:ascii="Arial" w:eastAsia="Times New Roman" w:hAnsi="Arial" w:cs="Arial"/>
          <w:color w:val="00B0F0"/>
          <w:sz w:val="20"/>
          <w:szCs w:val="20"/>
          <w:lang w:val="it-IT" w:eastAsia="en-IE"/>
        </w:rPr>
        <w:t>dei contraenti</w:t>
      </w:r>
      <w:r>
        <w:rPr>
          <w:rFonts w:ascii="Arial" w:eastAsia="Times New Roman" w:hAnsi="Arial" w:cs="Arial"/>
          <w:color w:val="00B0F0"/>
          <w:sz w:val="20"/>
          <w:szCs w:val="20"/>
          <w:lang w:val="it-IT" w:eastAsia="en-IE"/>
        </w:rPr>
        <w:t xml:space="preserve"> in perimetro per </w:t>
      </w:r>
      <w:r w:rsidR="000A1A44">
        <w:rPr>
          <w:rFonts w:ascii="Arial" w:eastAsia="Times New Roman" w:hAnsi="Arial" w:cs="Arial"/>
          <w:color w:val="00B0F0"/>
          <w:sz w:val="20"/>
          <w:szCs w:val="20"/>
          <w:lang w:val="it-IT" w:eastAsia="en-IE"/>
        </w:rPr>
        <w:t>l’</w:t>
      </w:r>
      <w:r w:rsidR="00A82666">
        <w:rPr>
          <w:rFonts w:ascii="Arial" w:eastAsia="Times New Roman" w:hAnsi="Arial" w:cs="Arial"/>
          <w:color w:val="00B0F0"/>
          <w:sz w:val="20"/>
          <w:szCs w:val="20"/>
          <w:lang w:val="it-IT" w:eastAsia="en-IE"/>
        </w:rPr>
        <w:t>Atto di Trasferimento</w:t>
      </w:r>
    </w:p>
    <w:p w14:paraId="0F3D37B1" w14:textId="2913214F"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xml:space="preserve">Per </w:t>
      </w:r>
      <w:r w:rsidR="00DC30A5">
        <w:rPr>
          <w:rFonts w:ascii="Arial" w:hAnsi="Arial" w:cs="Arial"/>
          <w:color w:val="000000"/>
          <w:sz w:val="20"/>
          <w:szCs w:val="20"/>
          <w:lang w:val="it-IT"/>
        </w:rPr>
        <w:t>i</w:t>
      </w:r>
      <w:r w:rsidR="00DC30A5"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italiani, segnalo i seguenti impatti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sulla base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analisi di cui sopra, concentrandosi sui dati del 31 dicembre 2020:</w:t>
      </w:r>
    </w:p>
    <w:p w14:paraId="3A8E41E4" w14:textId="5B0AD280"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Fanno parte di ZLAP, una delle più grandi compagnie di assicurazione su</w:t>
      </w:r>
      <w:r w:rsidR="000A1A44">
        <w:rPr>
          <w:rFonts w:ascii="Arial" w:hAnsi="Arial" w:cs="Arial"/>
          <w:color w:val="000000"/>
          <w:sz w:val="20"/>
          <w:szCs w:val="20"/>
          <w:lang w:val="it-IT"/>
        </w:rPr>
        <w:t>l comparto</w:t>
      </w:r>
      <w:r w:rsidRPr="00656794">
        <w:rPr>
          <w:rFonts w:ascii="Arial" w:hAnsi="Arial" w:cs="Arial"/>
          <w:color w:val="000000"/>
          <w:sz w:val="20"/>
          <w:szCs w:val="20"/>
          <w:lang w:val="it-IT"/>
        </w:rPr>
        <w:t xml:space="preserve"> vita operante nel mercato irlandese, regolamentata dalla CBI, e controllata di un grande gruppo assicurativo multinazionale. A fine 2020, ZLAP aveva un requisito patrimoniale di vigilanza di 649,6 milioni di euro, con fondi propri disponibili di 851,1 milioni di euro, eccedenza di fondi propri disponibili rispetto al requisito regolamentare di 201,5 milioni di euro con un coefficiente di copertura della solvibilità del 131%. Il </w:t>
      </w:r>
      <w:r w:rsidR="00580879">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italiano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non è rilevante per il portafoglio complessivo di ZLAP che rappresenta poco più del 7% delle riserve tecniche totali.</w:t>
      </w:r>
    </w:p>
    <w:p w14:paraId="7E829154" w14:textId="17BE854C"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Dopo il trasferimento,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AD0F9C">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si trasferiranno in ZIL, anch</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essa controllata dallo stesso gruppo ZIG. A fine 2020, ZIL aveva un requisito patrimoniale regolamentare di 424,7 milioni di euro, con Fondi Propri disponibili di 752,1 milioni di euro e Fondi Propri disponibili in eccesso al di sopra del requisito regolamentare di 327,4 milioni di euro, con un coefficiente di copertura della solvibilità del 177%. Sulla base dei risultati pro-forma preparati da ZIL al 31 dicembre 2020, si prevede che ZIL post-trasferimento avrà un requisito patrimoniale regolamentare di € 446,7 milioni, fondi propri disponibili di € 804,1 milioni e</w:t>
      </w:r>
      <w:r w:rsidR="000A1A44">
        <w:rPr>
          <w:rFonts w:ascii="Arial" w:hAnsi="Arial" w:cs="Arial"/>
          <w:color w:val="000000"/>
          <w:sz w:val="20"/>
          <w:szCs w:val="20"/>
          <w:lang w:val="it-IT"/>
        </w:rPr>
        <w:t>d</w:t>
      </w:r>
      <w:r w:rsidRPr="00656794">
        <w:rPr>
          <w:rFonts w:ascii="Arial" w:hAnsi="Arial" w:cs="Arial"/>
          <w:color w:val="000000"/>
          <w:sz w:val="20"/>
          <w:szCs w:val="20"/>
          <w:lang w:val="it-IT"/>
        </w:rPr>
        <w:t xml:space="preserve">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eccedenza di fondi propri disponibili al di sopra del requisito regolamentare di 357,4 milioni di euro, con un coefficiente di copertura della solvibilità del 180%. Si prevede che il livello dei fondi propri di ZIL aumenterà da € 752,1 milioni a € 804,1 milioni a seguito del trasferimento. Ciò è dovuto al trasferimento del tax asset italiano nonché al trasferimento degli utili futuri attesi </w:t>
      </w:r>
      <w:r w:rsidR="000A1A44" w:rsidRPr="000A1A44">
        <w:rPr>
          <w:rFonts w:ascii="Arial" w:hAnsi="Arial" w:cs="Arial"/>
          <w:color w:val="000000"/>
          <w:sz w:val="20"/>
          <w:szCs w:val="20"/>
          <w:lang w:val="it-IT"/>
        </w:rPr>
        <w:t>relativi alla porzione di portafoglio oggetto del trasferimento</w:t>
      </w:r>
      <w:r w:rsidRPr="00656794">
        <w:rPr>
          <w:rFonts w:ascii="Arial" w:hAnsi="Arial" w:cs="Arial"/>
          <w:color w:val="000000"/>
          <w:sz w:val="20"/>
          <w:szCs w:val="20"/>
          <w:lang w:val="it-IT"/>
        </w:rPr>
        <w:t>.</w:t>
      </w:r>
    </w:p>
    <w:p w14:paraId="720E4AFC" w14:textId="0D941B6F"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Sebbene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di ZIL aumenti, non è di un importo rilevante e</w:t>
      </w:r>
      <w:r w:rsidR="000A1A44">
        <w:rPr>
          <w:rFonts w:ascii="Arial" w:hAnsi="Arial" w:cs="Arial"/>
          <w:color w:val="000000"/>
          <w:sz w:val="20"/>
          <w:szCs w:val="20"/>
          <w:lang w:val="it-IT"/>
        </w:rPr>
        <w:t>d</w:t>
      </w:r>
      <w:r w:rsidRPr="00656794">
        <w:rPr>
          <w:rFonts w:ascii="Arial" w:hAnsi="Arial" w:cs="Arial"/>
          <w:color w:val="000000"/>
          <w:sz w:val="20"/>
          <w:szCs w:val="20"/>
          <w:lang w:val="it-IT"/>
        </w:rPr>
        <w:t xml:space="preserve"> il livello di copertura di solvibilità prevista in ZIL dopo il trasferimento è superiore al minimo regolamentare e agli obiettivi</w:t>
      </w:r>
      <w:r w:rsidR="000A1A44">
        <w:rPr>
          <w:rFonts w:ascii="Arial" w:hAnsi="Arial" w:cs="Arial"/>
          <w:color w:val="000000"/>
          <w:sz w:val="20"/>
          <w:szCs w:val="20"/>
          <w:lang w:val="it-IT"/>
        </w:rPr>
        <w:t xml:space="preserve"> strategici</w:t>
      </w:r>
      <w:r w:rsidRPr="00656794">
        <w:rPr>
          <w:rFonts w:ascii="Arial" w:hAnsi="Arial" w:cs="Arial"/>
          <w:color w:val="000000"/>
          <w:sz w:val="20"/>
          <w:szCs w:val="20"/>
          <w:lang w:val="it-IT"/>
        </w:rPr>
        <w:t xml:space="preserve"> di coefficiente di solvibilità </w:t>
      </w:r>
      <w:r w:rsidR="000A1A44">
        <w:rPr>
          <w:rFonts w:ascii="Arial" w:hAnsi="Arial" w:cs="Arial"/>
          <w:color w:val="000000"/>
          <w:sz w:val="20"/>
          <w:szCs w:val="20"/>
          <w:lang w:val="it-IT"/>
        </w:rPr>
        <w:t>definiti internamente</w:t>
      </w:r>
      <w:r w:rsidRPr="00656794">
        <w:rPr>
          <w:rFonts w:ascii="Arial" w:hAnsi="Arial" w:cs="Arial"/>
          <w:color w:val="000000"/>
          <w:sz w:val="20"/>
          <w:szCs w:val="20"/>
          <w:lang w:val="it-IT"/>
        </w:rPr>
        <w:t xml:space="preserve">.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44">
        <w:rPr>
          <w:rFonts w:ascii="Arial" w:hAnsi="Arial" w:cs="Arial"/>
          <w:color w:val="000000"/>
          <w:sz w:val="20"/>
          <w:szCs w:val="20"/>
          <w:lang w:val="it-IT"/>
        </w:rPr>
        <w:t xml:space="preserve"> oggetto di trasferimento</w:t>
      </w:r>
      <w:r w:rsidRPr="00656794">
        <w:rPr>
          <w:rFonts w:ascii="Arial" w:hAnsi="Arial" w:cs="Arial"/>
          <w:color w:val="000000"/>
          <w:sz w:val="20"/>
          <w:szCs w:val="20"/>
          <w:lang w:val="it-IT"/>
        </w:rPr>
        <w:t xml:space="preserve"> si stanno spostando in una società con un livello elevato di fondi propri in eccesso rispetto a</w:t>
      </w:r>
      <w:r w:rsidR="000A1A44">
        <w:rPr>
          <w:rFonts w:ascii="Arial" w:hAnsi="Arial" w:cs="Arial"/>
          <w:color w:val="000000"/>
          <w:sz w:val="20"/>
          <w:szCs w:val="20"/>
          <w:lang w:val="it-IT"/>
        </w:rPr>
        <w:t xml:space="preserve">ll’SCR, </w:t>
      </w:r>
      <w:r w:rsidRPr="00656794">
        <w:rPr>
          <w:rFonts w:ascii="Arial" w:hAnsi="Arial" w:cs="Arial"/>
          <w:color w:val="000000"/>
          <w:sz w:val="20"/>
          <w:szCs w:val="20"/>
          <w:lang w:val="it-IT"/>
        </w:rPr>
        <w:t>interpreta</w:t>
      </w:r>
      <w:r w:rsidR="000A1A44">
        <w:rPr>
          <w:rFonts w:ascii="Arial" w:hAnsi="Arial" w:cs="Arial"/>
          <w:color w:val="000000"/>
          <w:sz w:val="20"/>
          <w:szCs w:val="20"/>
          <w:lang w:val="it-IT"/>
        </w:rPr>
        <w:t>bile</w:t>
      </w:r>
      <w:r w:rsidRPr="00656794">
        <w:rPr>
          <w:rFonts w:ascii="Arial" w:hAnsi="Arial" w:cs="Arial"/>
          <w:color w:val="000000"/>
          <w:sz w:val="20"/>
          <w:szCs w:val="20"/>
          <w:lang w:val="it-IT"/>
        </w:rPr>
        <w:t xml:space="preserve"> come un passaggio a</w:t>
      </w:r>
      <w:r w:rsidR="000A1A44">
        <w:rPr>
          <w:rFonts w:ascii="Arial" w:hAnsi="Arial" w:cs="Arial"/>
          <w:color w:val="000000"/>
          <w:sz w:val="20"/>
          <w:szCs w:val="20"/>
          <w:lang w:val="it-IT"/>
        </w:rPr>
        <w:t>d</w:t>
      </w:r>
      <w:r w:rsidRPr="00656794">
        <w:rPr>
          <w:rFonts w:ascii="Arial" w:hAnsi="Arial" w:cs="Arial"/>
          <w:color w:val="000000"/>
          <w:sz w:val="20"/>
          <w:szCs w:val="20"/>
          <w:lang w:val="it-IT"/>
        </w:rPr>
        <w:t xml:space="preserve"> una società con una forte sicurezza finanziaria</w:t>
      </w:r>
      <w:r w:rsidR="000A1A44">
        <w:rPr>
          <w:rFonts w:ascii="Arial" w:hAnsi="Arial" w:cs="Arial"/>
          <w:color w:val="000000"/>
          <w:sz w:val="20"/>
          <w:szCs w:val="20"/>
          <w:lang w:val="it-IT"/>
        </w:rPr>
        <w:t xml:space="preserve"> sulla base delle</w:t>
      </w:r>
      <w:r w:rsidRPr="00656794">
        <w:rPr>
          <w:rFonts w:ascii="Arial" w:hAnsi="Arial" w:cs="Arial"/>
          <w:color w:val="000000"/>
          <w:sz w:val="20"/>
          <w:szCs w:val="20"/>
          <w:lang w:val="it-IT"/>
        </w:rPr>
        <w:t xml:space="preserve"> analis</w:t>
      </w:r>
      <w:r w:rsidR="000A1A44">
        <w:rPr>
          <w:rFonts w:ascii="Arial" w:hAnsi="Arial" w:cs="Arial"/>
          <w:color w:val="000000"/>
          <w:sz w:val="20"/>
          <w:szCs w:val="20"/>
          <w:lang w:val="it-IT"/>
        </w:rPr>
        <w:t>i svolte</w:t>
      </w:r>
      <w:r w:rsidRPr="00656794">
        <w:rPr>
          <w:rFonts w:ascii="Arial" w:hAnsi="Arial" w:cs="Arial"/>
          <w:color w:val="000000"/>
          <w:sz w:val="20"/>
          <w:szCs w:val="20"/>
          <w:lang w:val="it-IT"/>
        </w:rPr>
        <w:t>.</w:t>
      </w:r>
    </w:p>
    <w:p w14:paraId="295F8EF9" w14:textId="5A30F738"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Sulla base delle sue proiezioni ORSA e delle proiezioni preparate considerando il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si prevede che la posizione di solvibilità di ZIL continuerà a soddisfare i suoi requisiti patrimoniali regolamentari e gli obiettivi di capitale interno.</w:t>
      </w:r>
    </w:p>
    <w:p w14:paraId="51FCAFD0" w14:textId="75AF5DE2"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Ho considerato la forza del bilancio ZIL sotto </w:t>
      </w:r>
      <w:r w:rsidR="00C0350F">
        <w:rPr>
          <w:rFonts w:ascii="Arial" w:hAnsi="Arial" w:cs="Arial"/>
          <w:color w:val="000000"/>
          <w:sz w:val="20"/>
          <w:szCs w:val="20"/>
          <w:lang w:val="it-IT"/>
        </w:rPr>
        <w:t>test di stress e scenario</w:t>
      </w:r>
      <w:r w:rsidRPr="00656794">
        <w:rPr>
          <w:rFonts w:ascii="Arial" w:hAnsi="Arial" w:cs="Arial"/>
          <w:color w:val="000000"/>
          <w:sz w:val="20"/>
          <w:szCs w:val="20"/>
          <w:lang w:val="it-IT"/>
        </w:rPr>
        <w:t>, che è anche coperto come parte del processo ORSA. Sono stati individuati scenari che fanno preoccupare i limiti della propensione al rischio, anche se è importante notare che questo è ciò che il processo ORSA sta cercando di delineare e</w:t>
      </w:r>
      <w:r w:rsidR="001E7829">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documentare quale </w:t>
      </w:r>
      <w:r w:rsidR="001E7829">
        <w:rPr>
          <w:rFonts w:ascii="Arial" w:hAnsi="Arial" w:cs="Arial"/>
          <w:color w:val="000000"/>
          <w:sz w:val="20"/>
          <w:szCs w:val="20"/>
          <w:lang w:val="it-IT"/>
        </w:rPr>
        <w:t>potrebbe essere</w:t>
      </w:r>
      <w:r w:rsidRPr="00656794">
        <w:rPr>
          <w:rFonts w:ascii="Arial" w:hAnsi="Arial" w:cs="Arial"/>
          <w:color w:val="000000"/>
          <w:sz w:val="20"/>
          <w:szCs w:val="20"/>
          <w:lang w:val="it-IT"/>
        </w:rPr>
        <w:t xml:space="preserve"> la risposta a tali eventi. Sono in atto azioni di gestione per far fronte a tali eventualità e sono in corso azioni di gestione per far fronte ad alcuni dei rischi specifici, inclusa la diversificazione degli investimenti lontano dai titoli di stato italiani. Ritengo 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esposizione al rischio sia compresa e gestita. Non ritengo </w:t>
      </w:r>
      <w:r w:rsidR="001E7829">
        <w:rPr>
          <w:rFonts w:ascii="Arial" w:hAnsi="Arial" w:cs="Arial"/>
          <w:color w:val="000000"/>
          <w:sz w:val="20"/>
          <w:szCs w:val="20"/>
          <w:lang w:val="it-IT"/>
        </w:rPr>
        <w:t xml:space="preserve">che </w:t>
      </w:r>
      <w:r w:rsidRPr="00656794">
        <w:rPr>
          <w:rFonts w:ascii="Arial" w:hAnsi="Arial" w:cs="Arial"/>
          <w:color w:val="000000"/>
          <w:sz w:val="20"/>
          <w:szCs w:val="20"/>
          <w:lang w:val="it-IT"/>
        </w:rPr>
        <w:t xml:space="preserve">le esposizioni al </w:t>
      </w:r>
      <w:r w:rsidR="001E7829">
        <w:rPr>
          <w:rFonts w:ascii="Arial" w:hAnsi="Arial" w:cs="Arial"/>
          <w:color w:val="000000"/>
          <w:sz w:val="20"/>
          <w:szCs w:val="20"/>
          <w:lang w:val="it-IT"/>
        </w:rPr>
        <w:t>svantaggino</w:t>
      </w:r>
      <w:r w:rsidRPr="00656794">
        <w:rPr>
          <w:rFonts w:ascii="Arial" w:hAnsi="Arial" w:cs="Arial"/>
          <w:color w:val="000000"/>
          <w:sz w:val="20"/>
          <w:szCs w:val="20"/>
          <w:lang w:val="it-IT"/>
        </w:rPr>
        <w:t xml:space="preserve"> materialmente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in </w:t>
      </w:r>
      <w:r w:rsidR="001E7829">
        <w:rPr>
          <w:rFonts w:ascii="Arial" w:hAnsi="Arial" w:cs="Arial"/>
          <w:color w:val="000000"/>
          <w:sz w:val="20"/>
          <w:szCs w:val="20"/>
          <w:lang w:val="it-IT"/>
        </w:rPr>
        <w:t xml:space="preserve">perimetro di </w:t>
      </w:r>
      <w:r w:rsidRPr="00656794">
        <w:rPr>
          <w:rFonts w:ascii="Arial" w:hAnsi="Arial" w:cs="Arial"/>
          <w:color w:val="000000"/>
          <w:sz w:val="20"/>
          <w:szCs w:val="20"/>
          <w:lang w:val="it-IT"/>
        </w:rPr>
        <w:t>trasferimento.</w:t>
      </w:r>
    </w:p>
    <w:p w14:paraId="24D7C78F" w14:textId="301EBC16" w:rsidR="00D659FF" w:rsidRPr="00656794" w:rsidRDefault="00DC30A5" w:rsidP="00D659FF">
      <w:pPr>
        <w:spacing w:before="139" w:after="0" w:line="240" w:lineRule="auto"/>
        <w:rPr>
          <w:rFonts w:ascii="Arial" w:eastAsia="Times New Roman" w:hAnsi="Arial" w:cs="Arial"/>
          <w:color w:val="00B0F0"/>
          <w:sz w:val="20"/>
          <w:szCs w:val="20"/>
          <w:lang w:val="it-IT" w:eastAsia="en-IE"/>
        </w:rPr>
      </w:pPr>
      <w:r>
        <w:rPr>
          <w:rFonts w:ascii="Arial" w:eastAsia="Times New Roman" w:hAnsi="Arial" w:cs="Arial"/>
          <w:color w:val="00B0F0"/>
          <w:sz w:val="20"/>
          <w:szCs w:val="20"/>
          <w:lang w:val="it-IT" w:eastAsia="en-IE"/>
        </w:rPr>
        <w:t>Contraenti</w:t>
      </w:r>
      <w:r w:rsidR="003829D9" w:rsidRPr="00656794">
        <w:rPr>
          <w:rFonts w:ascii="Arial" w:eastAsia="Times New Roman" w:hAnsi="Arial" w:cs="Arial"/>
          <w:color w:val="00B0F0"/>
          <w:sz w:val="20"/>
          <w:szCs w:val="20"/>
          <w:lang w:val="it-IT" w:eastAsia="en-IE"/>
        </w:rPr>
        <w:t xml:space="preserve"> </w:t>
      </w:r>
      <w:r w:rsidR="00FC47F7">
        <w:rPr>
          <w:rFonts w:ascii="Arial" w:eastAsia="Times New Roman" w:hAnsi="Arial" w:cs="Arial"/>
          <w:color w:val="00B0F0"/>
          <w:sz w:val="20"/>
          <w:szCs w:val="20"/>
          <w:lang w:val="it-IT" w:eastAsia="en-IE"/>
        </w:rPr>
        <w:t xml:space="preserve">rimanenti di </w:t>
      </w:r>
      <w:r w:rsidR="003829D9" w:rsidRPr="00656794">
        <w:rPr>
          <w:rFonts w:ascii="Arial" w:eastAsia="Times New Roman" w:hAnsi="Arial" w:cs="Arial"/>
          <w:color w:val="00B0F0"/>
          <w:sz w:val="20"/>
          <w:szCs w:val="20"/>
          <w:lang w:val="it-IT" w:eastAsia="en-IE"/>
        </w:rPr>
        <w:t>ZLAP</w:t>
      </w:r>
    </w:p>
    <w:p w14:paraId="35E0B492" w14:textId="262263AC" w:rsidR="00B328F8"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Per i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rimanenti di ZLAP</w:t>
      </w:r>
      <w:r w:rsidRPr="00656794">
        <w:rPr>
          <w:rFonts w:ascii="Arial" w:hAnsi="Arial" w:cs="Arial"/>
          <w:color w:val="000000"/>
          <w:sz w:val="20"/>
          <w:szCs w:val="20"/>
          <w:lang w:val="it-IT"/>
        </w:rPr>
        <w:t xml:space="preserve">, concentrandomi sui dati </w:t>
      </w:r>
      <w:r w:rsidR="008254D7">
        <w:rPr>
          <w:rFonts w:ascii="Arial" w:hAnsi="Arial" w:cs="Arial"/>
          <w:color w:val="000000"/>
          <w:sz w:val="20"/>
          <w:szCs w:val="20"/>
          <w:lang w:val="it-IT"/>
        </w:rPr>
        <w:t>a</w:t>
      </w:r>
      <w:r w:rsidR="008254D7" w:rsidRPr="00656794">
        <w:rPr>
          <w:rFonts w:ascii="Arial" w:hAnsi="Arial" w:cs="Arial"/>
          <w:color w:val="000000"/>
          <w:sz w:val="20"/>
          <w:szCs w:val="20"/>
          <w:lang w:val="it-IT"/>
        </w:rPr>
        <w:t xml:space="preserve">l </w:t>
      </w:r>
      <w:r w:rsidRPr="00656794">
        <w:rPr>
          <w:rFonts w:ascii="Arial" w:hAnsi="Arial" w:cs="Arial"/>
          <w:color w:val="000000"/>
          <w:sz w:val="20"/>
          <w:szCs w:val="20"/>
          <w:lang w:val="it-IT"/>
        </w:rPr>
        <w:t xml:space="preserve">31 dicembre 2020, noto che: </w:t>
      </w:r>
    </w:p>
    <w:p w14:paraId="19863445" w14:textId="77777777" w:rsidR="00B328F8"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Il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è relativamente irrilevante nel contesto del portafoglio complessivo di ZLAP. </w:t>
      </w:r>
    </w:p>
    <w:p w14:paraId="4C375435" w14:textId="77777777" w:rsidR="00B328F8"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Si prevede che il livello dei fondi propri di ZLAP rimanga sostanzialmente neutrale a seguito del trasferimento. </w:t>
      </w:r>
    </w:p>
    <w:p w14:paraId="63074AF8" w14:textId="61D900C6" w:rsidR="00B328F8"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Prima del trasferimento,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ZLAP hanno un SCR di 649,6 milioni di euro e un coefficiente di solvibilità del 131%.</w:t>
      </w:r>
    </w:p>
    <w:p w14:paraId="59533337" w14:textId="196C1C29" w:rsidR="00D659FF" w:rsidRPr="00656794" w:rsidRDefault="003829D9" w:rsidP="001E7829">
      <w:pPr>
        <w:pStyle w:val="NormalWeb"/>
        <w:ind w:right="102"/>
        <w:jc w:val="both"/>
        <w:rPr>
          <w:rFonts w:ascii="Arial" w:hAnsi="Arial" w:cs="Arial"/>
          <w:color w:val="00B0F0"/>
          <w:sz w:val="20"/>
          <w:szCs w:val="20"/>
          <w:lang w:val="it-IT"/>
        </w:rPr>
      </w:pPr>
      <w:r w:rsidRPr="00656794">
        <w:rPr>
          <w:rFonts w:ascii="Arial" w:hAnsi="Arial" w:cs="Arial"/>
          <w:color w:val="000000"/>
          <w:sz w:val="20"/>
          <w:szCs w:val="20"/>
          <w:lang w:val="it-IT"/>
        </w:rPr>
        <w:t xml:space="preserve"> ■ </w:t>
      </w:r>
      <w:r w:rsidR="001E7829" w:rsidRPr="001E7829">
        <w:rPr>
          <w:rFonts w:ascii="Arial" w:hAnsi="Arial" w:cs="Arial"/>
          <w:color w:val="000000"/>
          <w:sz w:val="20"/>
          <w:szCs w:val="20"/>
          <w:lang w:val="it-IT"/>
        </w:rPr>
        <w:t xml:space="preserve">Dopo il trasferimento, l'SCR aumenta leggermente a 653,6 milioni di euro in quanto l'SCR a supporto delle azioni ZIL supera la riduzione dell'SCR derivante dal trasferimento del portafoglio unit </w:t>
      </w:r>
      <w:r w:rsidR="001E7829" w:rsidRPr="001E7829">
        <w:rPr>
          <w:rFonts w:ascii="Arial" w:hAnsi="Arial" w:cs="Arial"/>
          <w:color w:val="000000"/>
          <w:sz w:val="20"/>
          <w:szCs w:val="20"/>
          <w:lang w:val="it-IT"/>
        </w:rPr>
        <w:lastRenderedPageBreak/>
        <w:t>linked italiano. Il coefficiente di solvibilità post trasferimento è del 130%. Si noti che ZLAP intende vendere le azioni ZIL a ZIC (</w:t>
      </w:r>
      <w:r w:rsidR="001E7829">
        <w:rPr>
          <w:rFonts w:ascii="Arial" w:hAnsi="Arial" w:cs="Arial"/>
          <w:color w:val="000000"/>
          <w:sz w:val="20"/>
          <w:szCs w:val="20"/>
          <w:lang w:val="it-IT"/>
        </w:rPr>
        <w:t>branch</w:t>
      </w:r>
      <w:r w:rsidR="001E7829" w:rsidRPr="001E7829">
        <w:rPr>
          <w:rFonts w:ascii="Arial" w:hAnsi="Arial" w:cs="Arial"/>
          <w:color w:val="000000"/>
          <w:sz w:val="20"/>
          <w:szCs w:val="20"/>
          <w:lang w:val="it-IT"/>
        </w:rPr>
        <w:t xml:space="preserve"> italiana) non appena possibile</w:t>
      </w:r>
      <w:r w:rsidR="001E7829" w:rsidRPr="001E7829" w:rsidDel="001E7829">
        <w:rPr>
          <w:rFonts w:ascii="Arial" w:hAnsi="Arial" w:cs="Arial"/>
          <w:color w:val="000000"/>
          <w:sz w:val="20"/>
          <w:szCs w:val="20"/>
          <w:lang w:val="it-IT"/>
        </w:rPr>
        <w:t xml:space="preserve"> </w:t>
      </w:r>
      <w:r w:rsidRPr="00656794">
        <w:rPr>
          <w:rFonts w:ascii="Arial" w:hAnsi="Arial" w:cs="Arial"/>
          <w:color w:val="000000"/>
          <w:sz w:val="20"/>
          <w:szCs w:val="20"/>
          <w:lang w:val="it-IT"/>
        </w:rPr>
        <w:t>.</w:t>
      </w:r>
    </w:p>
    <w:p w14:paraId="3C0FDFA6" w14:textId="5CFFA670" w:rsidR="00D659FF" w:rsidRPr="00656794" w:rsidRDefault="00DC30A5" w:rsidP="00D659FF">
      <w:pPr>
        <w:spacing w:before="139" w:after="0" w:line="240" w:lineRule="auto"/>
        <w:rPr>
          <w:rFonts w:ascii="Arial" w:eastAsia="Times New Roman" w:hAnsi="Arial" w:cs="Arial"/>
          <w:color w:val="00B0F0"/>
          <w:sz w:val="20"/>
          <w:szCs w:val="20"/>
          <w:lang w:val="it-IT" w:eastAsia="en-IE"/>
        </w:rPr>
      </w:pPr>
      <w:r>
        <w:rPr>
          <w:rFonts w:ascii="Arial" w:eastAsia="Times New Roman" w:hAnsi="Arial" w:cs="Arial"/>
          <w:color w:val="00B0F0"/>
          <w:sz w:val="20"/>
          <w:szCs w:val="20"/>
          <w:lang w:val="it-IT" w:eastAsia="en-IE"/>
        </w:rPr>
        <w:t>Contraenti</w:t>
      </w:r>
      <w:r w:rsidR="00420F7E">
        <w:rPr>
          <w:rFonts w:ascii="Arial" w:eastAsia="Times New Roman" w:hAnsi="Arial" w:cs="Arial"/>
          <w:color w:val="00B0F0"/>
          <w:sz w:val="20"/>
          <w:szCs w:val="20"/>
          <w:lang w:val="it-IT" w:eastAsia="en-IE"/>
        </w:rPr>
        <w:t xml:space="preserve"> </w:t>
      </w:r>
      <w:r w:rsidR="00677A72">
        <w:rPr>
          <w:rFonts w:ascii="Arial" w:eastAsia="Times New Roman" w:hAnsi="Arial" w:cs="Arial"/>
          <w:color w:val="00B0F0"/>
          <w:sz w:val="20"/>
          <w:szCs w:val="20"/>
          <w:lang w:val="it-IT" w:eastAsia="en-IE"/>
        </w:rPr>
        <w:t xml:space="preserve">esistenti </w:t>
      </w:r>
      <w:r w:rsidR="00420F7E">
        <w:rPr>
          <w:rFonts w:ascii="Arial" w:eastAsia="Times New Roman" w:hAnsi="Arial" w:cs="Arial"/>
          <w:color w:val="00B0F0"/>
          <w:sz w:val="20"/>
          <w:szCs w:val="20"/>
          <w:lang w:val="it-IT" w:eastAsia="en-IE"/>
        </w:rPr>
        <w:t>di ZLAP</w:t>
      </w:r>
    </w:p>
    <w:p w14:paraId="29584BF3" w14:textId="38D1946A"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Per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w:t>
      </w:r>
      <w:r w:rsidR="00512D83">
        <w:rPr>
          <w:rFonts w:ascii="Arial" w:hAnsi="Arial" w:cs="Arial"/>
          <w:color w:val="000000"/>
          <w:sz w:val="20"/>
          <w:szCs w:val="20"/>
          <w:lang w:val="it-IT"/>
        </w:rPr>
        <w:t xml:space="preserve">esistenti </w:t>
      </w:r>
      <w:r w:rsidR="00420F7E">
        <w:rPr>
          <w:rFonts w:ascii="Arial" w:hAnsi="Arial" w:cs="Arial"/>
          <w:color w:val="000000"/>
          <w:sz w:val="20"/>
          <w:szCs w:val="20"/>
          <w:lang w:val="it-IT"/>
        </w:rPr>
        <w:t>di ZLAP</w:t>
      </w:r>
      <w:r w:rsidRPr="00656794">
        <w:rPr>
          <w:rFonts w:ascii="Arial" w:hAnsi="Arial" w:cs="Arial"/>
          <w:color w:val="000000"/>
          <w:sz w:val="20"/>
          <w:szCs w:val="20"/>
          <w:lang w:val="it-IT"/>
        </w:rPr>
        <w:t>, noto i seguenti impatti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sulla base dell</w:t>
      </w:r>
      <w:r w:rsidR="00512D83">
        <w:rPr>
          <w:rFonts w:ascii="Arial" w:hAnsi="Arial" w:cs="Arial"/>
          <w:color w:val="000000"/>
          <w:sz w:val="20"/>
          <w:szCs w:val="20"/>
          <w:lang w:val="it-IT"/>
        </w:rPr>
        <w:t xml:space="preserve">e </w:t>
      </w:r>
      <w:r w:rsidRPr="00656794">
        <w:rPr>
          <w:rFonts w:ascii="Arial" w:hAnsi="Arial" w:cs="Arial"/>
          <w:color w:val="000000"/>
          <w:sz w:val="20"/>
          <w:szCs w:val="20"/>
          <w:lang w:val="it-IT"/>
        </w:rPr>
        <w:t xml:space="preserve">analisi di cui sopra, </w:t>
      </w:r>
      <w:r w:rsidR="00512D83" w:rsidRPr="00656794">
        <w:rPr>
          <w:rFonts w:ascii="Arial" w:hAnsi="Arial" w:cs="Arial"/>
          <w:color w:val="000000"/>
          <w:sz w:val="20"/>
          <w:szCs w:val="20"/>
          <w:lang w:val="it-IT"/>
        </w:rPr>
        <w:t>concentrando</w:t>
      </w:r>
      <w:r w:rsidR="00512D83">
        <w:rPr>
          <w:rFonts w:ascii="Arial" w:hAnsi="Arial" w:cs="Arial"/>
          <w:color w:val="000000"/>
          <w:sz w:val="20"/>
          <w:szCs w:val="20"/>
          <w:lang w:val="it-IT"/>
        </w:rPr>
        <w:t>mi</w:t>
      </w:r>
      <w:r w:rsidR="00512D83"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sui dati </w:t>
      </w:r>
      <w:r w:rsidR="00512D83">
        <w:rPr>
          <w:rFonts w:ascii="Arial" w:hAnsi="Arial" w:cs="Arial"/>
          <w:color w:val="000000"/>
          <w:sz w:val="20"/>
          <w:szCs w:val="20"/>
          <w:lang w:val="it-IT"/>
        </w:rPr>
        <w:t>a</w:t>
      </w:r>
      <w:r w:rsidRPr="00656794">
        <w:rPr>
          <w:rFonts w:ascii="Arial" w:hAnsi="Arial" w:cs="Arial"/>
          <w:color w:val="000000"/>
          <w:sz w:val="20"/>
          <w:szCs w:val="20"/>
          <w:lang w:val="it-IT"/>
        </w:rPr>
        <w:t>l 31 dicembre 2020:</w:t>
      </w:r>
    </w:p>
    <w:p w14:paraId="450AD869" w14:textId="78276BD3"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Sia prima che dopo il trasferimento,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w:t>
      </w:r>
      <w:r w:rsidR="00512D83">
        <w:rPr>
          <w:rFonts w:ascii="Arial" w:hAnsi="Arial" w:cs="Arial"/>
          <w:color w:val="000000"/>
          <w:sz w:val="20"/>
          <w:szCs w:val="20"/>
          <w:lang w:val="it-IT"/>
        </w:rPr>
        <w:t xml:space="preserve">esistenti </w:t>
      </w:r>
      <w:r w:rsidR="00420F7E">
        <w:rPr>
          <w:rFonts w:ascii="Arial" w:hAnsi="Arial" w:cs="Arial"/>
          <w:color w:val="000000"/>
          <w:sz w:val="20"/>
          <w:szCs w:val="20"/>
          <w:lang w:val="it-IT"/>
        </w:rPr>
        <w:t xml:space="preserve">di ZLAP </w:t>
      </w:r>
      <w:r w:rsidR="00AF0295" w:rsidRPr="00656794">
        <w:rPr>
          <w:rFonts w:ascii="Arial" w:hAnsi="Arial" w:cs="Arial"/>
          <w:color w:val="000000"/>
          <w:sz w:val="20"/>
          <w:szCs w:val="20"/>
          <w:lang w:val="it-IT"/>
        </w:rPr>
        <w:t>hanno</w:t>
      </w:r>
      <w:r w:rsidRPr="00656794">
        <w:rPr>
          <w:rFonts w:ascii="Arial" w:hAnsi="Arial" w:cs="Arial"/>
          <w:color w:val="000000"/>
          <w:sz w:val="20"/>
          <w:szCs w:val="20"/>
          <w:lang w:val="it-IT"/>
        </w:rPr>
        <w:t xml:space="preserve"> una forte posizione patrimoniale regolamentare.</w:t>
      </w:r>
    </w:p>
    <w:p w14:paraId="4C1D0704" w14:textId="026DCA98"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Il livello dei fondi propri di ZIL aumenta da 752,1 milioni di euro a 804,1 milioni di euro a seguito del trasferimento. Ciò è dovuto al trasferimento del tax asset italiano nonché al trasferimento degli utili futuri attesi </w:t>
      </w:r>
      <w:r w:rsidR="001E7829" w:rsidRPr="000A1A44">
        <w:rPr>
          <w:rFonts w:ascii="Arial" w:hAnsi="Arial" w:cs="Arial"/>
          <w:color w:val="000000"/>
          <w:sz w:val="20"/>
          <w:szCs w:val="20"/>
          <w:lang w:val="it-IT"/>
        </w:rPr>
        <w:t>relativi alla porzione di portafoglio oggetto del trasferimento</w:t>
      </w:r>
      <w:r w:rsidRPr="00656794">
        <w:rPr>
          <w:rFonts w:ascii="Arial" w:hAnsi="Arial" w:cs="Arial"/>
          <w:color w:val="000000"/>
          <w:sz w:val="20"/>
          <w:szCs w:val="20"/>
          <w:lang w:val="it-IT"/>
        </w:rPr>
        <w:t>.</w:t>
      </w:r>
    </w:p>
    <w:p w14:paraId="10A2FA40" w14:textId="5E507D2C"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Prima del trasferimento,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512D83">
        <w:rPr>
          <w:rFonts w:ascii="Arial" w:hAnsi="Arial" w:cs="Arial"/>
          <w:color w:val="000000"/>
          <w:sz w:val="20"/>
          <w:szCs w:val="20"/>
          <w:lang w:val="it-IT"/>
        </w:rPr>
        <w:t xml:space="preserve">di </w:t>
      </w:r>
      <w:r w:rsidRPr="00656794">
        <w:rPr>
          <w:rFonts w:ascii="Arial" w:hAnsi="Arial" w:cs="Arial"/>
          <w:color w:val="000000"/>
          <w:sz w:val="20"/>
          <w:szCs w:val="20"/>
          <w:lang w:val="it-IT"/>
        </w:rPr>
        <w:t xml:space="preserve">ZIL </w:t>
      </w:r>
      <w:r w:rsidR="00512D83">
        <w:rPr>
          <w:rFonts w:ascii="Arial" w:hAnsi="Arial" w:cs="Arial"/>
          <w:color w:val="000000"/>
          <w:sz w:val="20"/>
          <w:szCs w:val="20"/>
          <w:lang w:val="it-IT"/>
        </w:rPr>
        <w:t>possono contare su</w:t>
      </w:r>
      <w:r w:rsidR="00512D83"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un SCR di 424,7 milioni di euro e</w:t>
      </w:r>
      <w:r w:rsidR="00512D83">
        <w:rPr>
          <w:rFonts w:ascii="Arial" w:hAnsi="Arial" w:cs="Arial"/>
          <w:color w:val="000000"/>
          <w:sz w:val="20"/>
          <w:szCs w:val="20"/>
          <w:lang w:val="it-IT"/>
        </w:rPr>
        <w:t>d</w:t>
      </w:r>
      <w:r w:rsidRPr="00656794">
        <w:rPr>
          <w:rFonts w:ascii="Arial" w:hAnsi="Arial" w:cs="Arial"/>
          <w:color w:val="000000"/>
          <w:sz w:val="20"/>
          <w:szCs w:val="20"/>
          <w:lang w:val="it-IT"/>
        </w:rPr>
        <w:t xml:space="preserve"> un coefficiente di solvibilità del 177%. Successivamente alla cessione,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sal</w:t>
      </w:r>
      <w:r w:rsidR="00512D83">
        <w:rPr>
          <w:rFonts w:ascii="Arial" w:hAnsi="Arial" w:cs="Arial"/>
          <w:color w:val="000000"/>
          <w:sz w:val="20"/>
          <w:szCs w:val="20"/>
          <w:lang w:val="it-IT"/>
        </w:rPr>
        <w:t>irebbe</w:t>
      </w:r>
      <w:r w:rsidRPr="00656794">
        <w:rPr>
          <w:rFonts w:ascii="Arial" w:hAnsi="Arial" w:cs="Arial"/>
          <w:color w:val="000000"/>
          <w:sz w:val="20"/>
          <w:szCs w:val="20"/>
          <w:lang w:val="it-IT"/>
        </w:rPr>
        <w:t xml:space="preserve"> a 446,7 milioni di euro per effetto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accresciuto rischio di mercato dovuto alla cessione del portafoglio </w:t>
      </w:r>
      <w:r w:rsidR="00512D83">
        <w:rPr>
          <w:rFonts w:ascii="Arial" w:hAnsi="Arial" w:cs="Arial"/>
          <w:color w:val="000000"/>
          <w:sz w:val="20"/>
          <w:szCs w:val="20"/>
          <w:lang w:val="it-IT"/>
        </w:rPr>
        <w:t>oggetto del trasferimento</w:t>
      </w:r>
      <w:r w:rsidRPr="00656794">
        <w:rPr>
          <w:rFonts w:ascii="Arial" w:hAnsi="Arial" w:cs="Arial"/>
          <w:color w:val="000000"/>
          <w:sz w:val="20"/>
          <w:szCs w:val="20"/>
          <w:lang w:val="it-IT"/>
        </w:rPr>
        <w:t>. Il coefficiente di solvibilità sa</w:t>
      </w:r>
      <w:r w:rsidR="00512D83">
        <w:rPr>
          <w:rFonts w:ascii="Arial" w:hAnsi="Arial" w:cs="Arial"/>
          <w:color w:val="000000"/>
          <w:sz w:val="20"/>
          <w:szCs w:val="20"/>
          <w:lang w:val="it-IT"/>
        </w:rPr>
        <w:t>lirebbe quindi</w:t>
      </w:r>
      <w:r w:rsidRPr="00656794">
        <w:rPr>
          <w:rFonts w:ascii="Arial" w:hAnsi="Arial" w:cs="Arial"/>
          <w:color w:val="000000"/>
          <w:sz w:val="20"/>
          <w:szCs w:val="20"/>
          <w:lang w:val="it-IT"/>
        </w:rPr>
        <w:t xml:space="preserve"> al 180%.</w:t>
      </w:r>
    </w:p>
    <w:p w14:paraId="57671BE7" w14:textId="10D6BE51"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512D83">
        <w:rPr>
          <w:rFonts w:ascii="Arial" w:hAnsi="Arial" w:cs="Arial"/>
          <w:color w:val="000000"/>
          <w:sz w:val="20"/>
          <w:szCs w:val="20"/>
          <w:lang w:val="it-IT"/>
        </w:rPr>
        <w:t xml:space="preserve">di </w:t>
      </w:r>
      <w:r w:rsidRPr="00656794">
        <w:rPr>
          <w:rFonts w:ascii="Arial" w:hAnsi="Arial" w:cs="Arial"/>
          <w:color w:val="000000"/>
          <w:sz w:val="20"/>
          <w:szCs w:val="20"/>
          <w:lang w:val="it-IT"/>
        </w:rPr>
        <w:t>ZIL restano parte di una società che, dopo il trasferimento, avrà un livello di copertura della solvibilità, ampiamente superiore ai livelli minimi regolamentari.</w:t>
      </w:r>
    </w:p>
    <w:p w14:paraId="29A63EAB" w14:textId="54FF25C3"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La posizione post-trasferimento di cui sopra riflette i costi di migrazione del sistema amministrativo </w:t>
      </w:r>
      <w:r w:rsidR="00512D83">
        <w:rPr>
          <w:rFonts w:ascii="Arial" w:hAnsi="Arial" w:cs="Arial"/>
          <w:color w:val="000000"/>
          <w:sz w:val="20"/>
          <w:szCs w:val="20"/>
          <w:lang w:val="it-IT"/>
        </w:rPr>
        <w:t>verso</w:t>
      </w:r>
      <w:r w:rsidR="00512D83"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Previnet, nonché i costi </w:t>
      </w:r>
      <w:r w:rsidR="00512D83">
        <w:rPr>
          <w:rFonts w:ascii="Arial" w:hAnsi="Arial" w:cs="Arial"/>
          <w:color w:val="000000"/>
          <w:sz w:val="20"/>
          <w:szCs w:val="20"/>
          <w:lang w:val="it-IT"/>
        </w:rPr>
        <w:t>relativi all’attività ceduta</w:t>
      </w:r>
      <w:r w:rsidRPr="00656794">
        <w:rPr>
          <w:rFonts w:ascii="Arial" w:hAnsi="Arial" w:cs="Arial"/>
          <w:color w:val="000000"/>
          <w:sz w:val="20"/>
          <w:szCs w:val="20"/>
          <w:lang w:val="it-IT"/>
        </w:rPr>
        <w:t xml:space="preserve"> in outsourcing.</w:t>
      </w:r>
    </w:p>
    <w:p w14:paraId="15811544" w14:textId="5B589DC1" w:rsidR="00AF0295" w:rsidRPr="00656794" w:rsidRDefault="00512D83" w:rsidP="00AF0295">
      <w:pPr>
        <w:spacing w:before="139" w:after="0" w:line="240" w:lineRule="auto"/>
        <w:rPr>
          <w:rFonts w:ascii="Arial" w:eastAsia="Times New Roman" w:hAnsi="Arial" w:cs="Arial"/>
          <w:color w:val="00B0F0"/>
          <w:sz w:val="20"/>
          <w:szCs w:val="20"/>
          <w:lang w:val="it-IT" w:eastAsia="en-IE"/>
        </w:rPr>
      </w:pPr>
      <w:r>
        <w:rPr>
          <w:rFonts w:ascii="Arial" w:eastAsia="Times New Roman" w:hAnsi="Arial" w:cs="Arial"/>
          <w:color w:val="00B0F0"/>
          <w:sz w:val="20"/>
          <w:szCs w:val="20"/>
          <w:lang w:val="it-IT" w:eastAsia="en-IE"/>
        </w:rPr>
        <w:t>Considerazioni aggiuntive</w:t>
      </w:r>
    </w:p>
    <w:p w14:paraId="5AA8A900" w14:textId="54CB3871" w:rsidR="003829D9" w:rsidRPr="00656794" w:rsidRDefault="00512D83" w:rsidP="003829D9">
      <w:pPr>
        <w:pStyle w:val="NormalWeb"/>
        <w:ind w:right="102"/>
        <w:jc w:val="both"/>
        <w:rPr>
          <w:rFonts w:ascii="Arial" w:hAnsi="Arial" w:cs="Arial"/>
          <w:color w:val="000000"/>
          <w:sz w:val="20"/>
          <w:szCs w:val="20"/>
          <w:lang w:val="it-IT"/>
        </w:rPr>
      </w:pPr>
      <w:r w:rsidRPr="00512D83">
        <w:rPr>
          <w:rFonts w:ascii="Arial" w:hAnsi="Arial" w:cs="Arial"/>
          <w:color w:val="000000"/>
          <w:sz w:val="20"/>
          <w:szCs w:val="20"/>
          <w:lang w:val="it-IT"/>
        </w:rPr>
        <w:t xml:space="preserve">Sulla base di quanto riportato sopra, non è previsto alcun effetto negativo materiale sulla sicurezza finanziaria </w:t>
      </w:r>
      <w:r w:rsidR="00236DFA">
        <w:rPr>
          <w:rFonts w:ascii="Arial" w:hAnsi="Arial" w:cs="Arial"/>
          <w:color w:val="000000"/>
          <w:sz w:val="20"/>
          <w:szCs w:val="20"/>
          <w:lang w:val="it-IT"/>
        </w:rPr>
        <w:t>dei</w:t>
      </w:r>
      <w:r w:rsidR="00236DFA" w:rsidRPr="00512D83">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512D83">
        <w:rPr>
          <w:rFonts w:ascii="Arial" w:hAnsi="Arial" w:cs="Arial"/>
          <w:color w:val="000000"/>
          <w:sz w:val="20"/>
          <w:szCs w:val="20"/>
          <w:lang w:val="it-IT"/>
        </w:rPr>
        <w:t xml:space="preserve"> in perimetro in seguito all’attuazione dell’</w:t>
      </w:r>
      <w:r w:rsidR="00A82666">
        <w:rPr>
          <w:rFonts w:ascii="Arial" w:hAnsi="Arial" w:cs="Arial"/>
          <w:color w:val="000000"/>
          <w:sz w:val="20"/>
          <w:szCs w:val="20"/>
          <w:lang w:val="it-IT"/>
        </w:rPr>
        <w:t>Atto di Trasferimento</w:t>
      </w:r>
      <w:r w:rsidRPr="00512D83">
        <w:rPr>
          <w:rFonts w:ascii="Arial" w:hAnsi="Arial" w:cs="Arial"/>
          <w:color w:val="000000"/>
          <w:sz w:val="20"/>
          <w:szCs w:val="20"/>
          <w:lang w:val="it-IT"/>
        </w:rPr>
        <w:t xml:space="preserve">, né per quanto riguarda </w:t>
      </w:r>
      <w:r w:rsidR="00236DFA">
        <w:rPr>
          <w:rFonts w:ascii="Arial" w:hAnsi="Arial" w:cs="Arial"/>
          <w:color w:val="000000"/>
          <w:sz w:val="20"/>
          <w:szCs w:val="20"/>
          <w:lang w:val="it-IT"/>
        </w:rPr>
        <w:t>i</w:t>
      </w:r>
      <w:r w:rsidR="00236DFA" w:rsidRPr="00512D83">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EC5FFA">
        <w:rPr>
          <w:rFonts w:ascii="Arial" w:hAnsi="Arial" w:cs="Arial"/>
          <w:color w:val="000000"/>
          <w:sz w:val="20"/>
          <w:szCs w:val="20"/>
          <w:lang w:val="it-IT"/>
        </w:rPr>
        <w:t xml:space="preserve"> </w:t>
      </w:r>
      <w:r w:rsidR="00EC5FFA" w:rsidRPr="00512D83">
        <w:rPr>
          <w:rFonts w:ascii="Arial" w:hAnsi="Arial" w:cs="Arial"/>
          <w:color w:val="000000"/>
          <w:sz w:val="20"/>
          <w:szCs w:val="20"/>
          <w:lang w:val="it-IT"/>
        </w:rPr>
        <w:t>attuali</w:t>
      </w:r>
      <w:r w:rsidRPr="00512D83">
        <w:rPr>
          <w:rFonts w:ascii="Arial" w:hAnsi="Arial" w:cs="Arial"/>
          <w:color w:val="000000"/>
          <w:sz w:val="20"/>
          <w:szCs w:val="20"/>
          <w:lang w:val="it-IT"/>
        </w:rPr>
        <w:t xml:space="preserve"> di ZIL e nemmeno per </w:t>
      </w:r>
      <w:r w:rsidR="00236DFA">
        <w:rPr>
          <w:rFonts w:ascii="Arial" w:hAnsi="Arial" w:cs="Arial"/>
          <w:color w:val="000000"/>
          <w:sz w:val="20"/>
          <w:szCs w:val="20"/>
          <w:lang w:val="it-IT"/>
        </w:rPr>
        <w:t>i</w:t>
      </w:r>
      <w:r w:rsidR="00236DFA" w:rsidRPr="00512D83">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512D83">
        <w:rPr>
          <w:rFonts w:ascii="Arial" w:hAnsi="Arial" w:cs="Arial"/>
          <w:color w:val="000000"/>
          <w:sz w:val="20"/>
          <w:szCs w:val="20"/>
          <w:lang w:val="it-IT"/>
        </w:rPr>
        <w:t xml:space="preserve"> </w:t>
      </w:r>
      <w:r w:rsidR="00EC5FFA" w:rsidRPr="00512D83">
        <w:rPr>
          <w:rFonts w:ascii="Arial" w:hAnsi="Arial" w:cs="Arial"/>
          <w:color w:val="000000"/>
          <w:sz w:val="20"/>
          <w:szCs w:val="20"/>
          <w:lang w:val="it-IT"/>
        </w:rPr>
        <w:t xml:space="preserve">restanti </w:t>
      </w:r>
      <w:r w:rsidRPr="00512D83">
        <w:rPr>
          <w:rFonts w:ascii="Arial" w:hAnsi="Arial" w:cs="Arial"/>
          <w:color w:val="000000"/>
          <w:sz w:val="20"/>
          <w:szCs w:val="20"/>
          <w:lang w:val="it-IT"/>
        </w:rPr>
        <w:t>di ZLAP. Il portafoglio in oggetto non è particolarmente materiale per ZLAP. Il portafoglio risulta essere leggermente più materiale per ZIL ma nel complesso non è una transazione particolarmente materiale per nessuna delle due parti. Il livello dei Fondi Propri e della copertura di solvibilità in ZIL post-trasferimento è ben superiore al minimo regolamentare ed è al di sopra dei livelli  target fissati internamente sia da ZLAP che da ZIL</w:t>
      </w:r>
      <w:r w:rsidR="003829D9" w:rsidRPr="00656794">
        <w:rPr>
          <w:rFonts w:ascii="Arial" w:hAnsi="Arial" w:cs="Arial"/>
          <w:color w:val="000000"/>
          <w:sz w:val="20"/>
          <w:szCs w:val="20"/>
          <w:lang w:val="it-IT"/>
        </w:rPr>
        <w:t>.</w:t>
      </w:r>
    </w:p>
    <w:p w14:paraId="1368577E" w14:textId="77777777"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7.2.3 Obiettivi di capitale</w:t>
      </w:r>
    </w:p>
    <w:p w14:paraId="24F1453B" w14:textId="24A029B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Entrambe le entità hanno definito un livello interno di target capital superiore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SCR Solvency II complessivo. Ci si aspetta che entrambe le entità raggiungano i propri obiettivi strategici interni di solvibilità dopo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Vorrei notare che, come percentuale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di ZIL è mirare a un livello superiore a quello di ZLAP. Tuttavia, il valore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di ZLAP è più alto, il che significa che mira a un livello più elevato di capitale in eccesso (in termini assoluti).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adottato è simile in entrambe le entità e nessuna delle due sta pianificando una revisione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56F9B4B6" w14:textId="77777777"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7.2.4 Business Plan e solvibilità prevista</w:t>
      </w:r>
    </w:p>
    <w:p w14:paraId="44968082" w14:textId="09E47D4F"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Come notato sopra, mi è </w:t>
      </w:r>
      <w:r w:rsidR="004B1A1F" w:rsidRPr="00656794">
        <w:rPr>
          <w:rFonts w:ascii="Arial" w:hAnsi="Arial" w:cs="Arial"/>
          <w:color w:val="000000"/>
          <w:sz w:val="20"/>
          <w:szCs w:val="20"/>
          <w:lang w:val="it-IT"/>
        </w:rPr>
        <w:t>sta</w:t>
      </w:r>
      <w:r w:rsidR="004B1A1F">
        <w:rPr>
          <w:rFonts w:ascii="Arial" w:hAnsi="Arial" w:cs="Arial"/>
          <w:color w:val="000000"/>
          <w:sz w:val="20"/>
          <w:szCs w:val="20"/>
          <w:lang w:val="it-IT"/>
        </w:rPr>
        <w:t>t</w:t>
      </w:r>
      <w:r w:rsidR="003C74B7">
        <w:rPr>
          <w:rFonts w:ascii="Arial" w:hAnsi="Arial" w:cs="Arial"/>
          <w:color w:val="000000"/>
          <w:sz w:val="20"/>
          <w:szCs w:val="20"/>
          <w:lang w:val="it-IT"/>
        </w:rPr>
        <w:t>o</w:t>
      </w:r>
      <w:r w:rsidR="004B1A1F">
        <w:rPr>
          <w:rFonts w:ascii="Arial" w:hAnsi="Arial" w:cs="Arial"/>
          <w:color w:val="000000"/>
          <w:sz w:val="20"/>
          <w:szCs w:val="20"/>
          <w:lang w:val="it-IT"/>
        </w:rPr>
        <w:t xml:space="preserve"> fornito il rapporto</w:t>
      </w:r>
      <w:r w:rsidRPr="00656794">
        <w:rPr>
          <w:rFonts w:ascii="Arial" w:hAnsi="Arial" w:cs="Arial"/>
          <w:color w:val="000000"/>
          <w:sz w:val="20"/>
          <w:szCs w:val="20"/>
          <w:lang w:val="it-IT"/>
        </w:rPr>
        <w:t xml:space="preserve"> ZLAP ORSA più recente, che </w:t>
      </w:r>
      <w:r w:rsidR="004B1A1F">
        <w:rPr>
          <w:rFonts w:ascii="Arial" w:hAnsi="Arial" w:cs="Arial"/>
          <w:color w:val="000000"/>
          <w:sz w:val="20"/>
          <w:szCs w:val="20"/>
          <w:lang w:val="it-IT"/>
        </w:rPr>
        <w:t>ha preso in considerazione</w:t>
      </w:r>
      <w:r w:rsidRPr="00656794">
        <w:rPr>
          <w:rFonts w:ascii="Arial" w:hAnsi="Arial" w:cs="Arial"/>
          <w:color w:val="000000"/>
          <w:sz w:val="20"/>
          <w:szCs w:val="20"/>
          <w:lang w:val="it-IT"/>
        </w:rPr>
        <w:t xml:space="preserve"> il bilancio previsto per ZLAP dopo il trasferimento. Prendo atto che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proposto non ha alcun impatto materiale sulla solvibilità prevista di ZLAP.</w:t>
      </w:r>
    </w:p>
    <w:p w14:paraId="5CCCE5A0" w14:textId="76502886"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Per ZIL mi sono stati forniti i rapporti ORSA 2019 e 2020. Oltre a mostrare il bilancio proiettato e la capacità del bilancio di assorbire le sollecitazioni da una varietà di eventi di stress, è stata data esplicita considerazione </w:t>
      </w:r>
      <w:r w:rsidR="00AF0295" w:rsidRPr="00656794">
        <w:rPr>
          <w:rFonts w:ascii="Arial" w:hAnsi="Arial" w:cs="Arial"/>
          <w:color w:val="000000"/>
          <w:sz w:val="20"/>
          <w:szCs w:val="20"/>
          <w:lang w:val="it-IT"/>
        </w:rPr>
        <w:t>al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come parte del processo ORSA 2020. Prendo atto che il coefficiente di copertura della solvibilità previsto dovrebbe continuare a soddisfare i suoi requisiti patrimoniali regolamentari e gli obiettivi di capitale interno dopo il trasferimento.</w:t>
      </w:r>
    </w:p>
    <w:p w14:paraId="3B920244"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Considerando quanto sopra, non ho identificato alcun problema in merito alla copertura di solvibilità prevista di ZIL dopo il trasferimento.</w:t>
      </w:r>
    </w:p>
    <w:p w14:paraId="6B6DCE0E" w14:textId="77777777"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7.2.5 Test di sensibilità</w:t>
      </w:r>
    </w:p>
    <w:p w14:paraId="564E5403" w14:textId="785E669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Come notato in precedenza, mi sono stati forniti i più recenti rapporti ORSA preparati da ZLAP e ZIL, che illustrano la sensibilità delle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a vari problemi di rischio. Come notato, dato ch</w:t>
      </w:r>
      <w:r w:rsidR="00AC4CF1">
        <w:rPr>
          <w:rFonts w:ascii="Arial" w:hAnsi="Arial" w:cs="Arial"/>
          <w:color w:val="000000"/>
          <w:sz w:val="20"/>
          <w:szCs w:val="20"/>
          <w:lang w:val="it-IT"/>
        </w:rPr>
        <w:t xml:space="preserve">e il </w:t>
      </w:r>
      <w:r w:rsidR="00AC4CF1" w:rsidRPr="00AC4CF1">
        <w:rPr>
          <w:rFonts w:ascii="Arial" w:hAnsi="Arial" w:cs="Arial"/>
          <w:color w:val="000000"/>
          <w:sz w:val="20"/>
          <w:szCs w:val="20"/>
          <w:lang w:val="it-IT"/>
        </w:rPr>
        <w:t>portafoglio assicurativo italiano unit-linked</w:t>
      </w:r>
      <w:r w:rsidR="00AC4CF1" w:rsidRPr="00AC4CF1" w:rsidDel="00AC4CF1">
        <w:rPr>
          <w:rFonts w:ascii="Arial" w:hAnsi="Arial" w:cs="Arial"/>
          <w:color w:val="000000"/>
          <w:sz w:val="20"/>
          <w:szCs w:val="20"/>
          <w:lang w:val="it-IT"/>
        </w:rPr>
        <w:t xml:space="preserve"> </w:t>
      </w:r>
      <w:r w:rsidRPr="00656794">
        <w:rPr>
          <w:rFonts w:ascii="Arial" w:hAnsi="Arial" w:cs="Arial"/>
          <w:color w:val="000000"/>
          <w:sz w:val="20"/>
          <w:szCs w:val="20"/>
          <w:lang w:val="it-IT"/>
        </w:rPr>
        <w:t>non è eccessivamente materiale nel contesto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attività più ampia di ZIL,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ha un impatto materiale sul profilo di rischio di ZIL o sulla sensibilità ai principali fattori di rischio. In quanto tale,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italiani in trasferimento non sono esposti a un bilancio particolarmente più volatile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Non ho identificato alcun problema materiale.</w:t>
      </w:r>
    </w:p>
    <w:p w14:paraId="04BF979C" w14:textId="603B9E60" w:rsidR="003829D9" w:rsidRPr="00656794" w:rsidRDefault="003829D9" w:rsidP="003829D9">
      <w:pPr>
        <w:pStyle w:val="NormalWeb"/>
        <w:ind w:right="102"/>
        <w:jc w:val="both"/>
        <w:rPr>
          <w:rFonts w:ascii="Arial" w:hAnsi="Arial" w:cs="Arial"/>
          <w:b/>
          <w:bCs/>
          <w:color w:val="00338D"/>
          <w:sz w:val="28"/>
          <w:szCs w:val="28"/>
          <w:lang w:val="it-IT"/>
        </w:rPr>
      </w:pPr>
      <w:r w:rsidRPr="00656794">
        <w:rPr>
          <w:rFonts w:ascii="Arial" w:hAnsi="Arial" w:cs="Arial"/>
          <w:b/>
          <w:bCs/>
          <w:color w:val="00338D"/>
          <w:sz w:val="28"/>
          <w:szCs w:val="28"/>
          <w:lang w:val="it-IT"/>
        </w:rPr>
        <w:t xml:space="preserve">7.3 </w:t>
      </w:r>
      <w:r w:rsidR="006F4255" w:rsidRPr="00656794">
        <w:rPr>
          <w:rFonts w:ascii="Arial" w:hAnsi="Arial" w:cs="Arial"/>
          <w:b/>
          <w:bCs/>
          <w:color w:val="00338D"/>
          <w:sz w:val="28"/>
          <w:szCs w:val="28"/>
          <w:lang w:val="it-IT"/>
        </w:rPr>
        <w:t>Altri aspetti che incidono sulla sicurezza finanziaria</w:t>
      </w:r>
    </w:p>
    <w:p w14:paraId="2C18E8E7" w14:textId="032FAE0F"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 xml:space="preserve">7.3.1 </w:t>
      </w:r>
      <w:r w:rsidR="006F4255" w:rsidRPr="00656794">
        <w:rPr>
          <w:rFonts w:ascii="Arial" w:hAnsi="Arial" w:cs="Arial"/>
          <w:color w:val="00338D"/>
          <w:lang w:val="it-IT"/>
        </w:rPr>
        <w:t>Profilo di rischio</w:t>
      </w:r>
    </w:p>
    <w:p w14:paraId="027C9E3B" w14:textId="0AC64D11"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Qui di seguito ho preso in considerazione eventuali differenze nel mix di attività delle due </w:t>
      </w:r>
      <w:r w:rsidR="0082789C">
        <w:rPr>
          <w:rFonts w:ascii="Arial" w:hAnsi="Arial" w:cs="Arial"/>
          <w:color w:val="000000"/>
          <w:sz w:val="20"/>
          <w:szCs w:val="20"/>
          <w:lang w:val="it-IT"/>
        </w:rPr>
        <w:t>Società coinvolte nell’</w:t>
      </w:r>
      <w:r w:rsidR="00A8266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e qualsiasi impatto associato per i gruppi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pertinenti.</w:t>
      </w:r>
    </w:p>
    <w:p w14:paraId="01CEF7F5" w14:textId="74873D12" w:rsidR="003829D9" w:rsidRPr="00656794" w:rsidRDefault="003829D9" w:rsidP="008E246A">
      <w:pPr>
        <w:spacing w:before="139" w:after="0" w:line="240" w:lineRule="auto"/>
        <w:rPr>
          <w:rFonts w:ascii="Arial" w:eastAsia="Times New Roman" w:hAnsi="Arial" w:cs="Arial"/>
          <w:color w:val="00B0F0"/>
          <w:sz w:val="20"/>
          <w:szCs w:val="20"/>
          <w:lang w:val="it-IT" w:eastAsia="en-IE"/>
        </w:rPr>
      </w:pPr>
      <w:r w:rsidRPr="00656794">
        <w:rPr>
          <w:rFonts w:ascii="Arial" w:eastAsia="Times New Roman" w:hAnsi="Arial" w:cs="Arial"/>
          <w:color w:val="00B0F0"/>
          <w:sz w:val="20"/>
          <w:szCs w:val="20"/>
          <w:lang w:val="it-IT" w:eastAsia="en-IE"/>
        </w:rPr>
        <w:t xml:space="preserve">ZIL – </w:t>
      </w:r>
      <w:r w:rsidR="00DC30A5">
        <w:rPr>
          <w:rFonts w:ascii="Arial" w:eastAsia="Times New Roman" w:hAnsi="Arial" w:cs="Arial"/>
          <w:color w:val="00B0F0"/>
          <w:sz w:val="20"/>
          <w:szCs w:val="20"/>
          <w:lang w:val="it-IT" w:eastAsia="en-IE"/>
        </w:rPr>
        <w:t>Contraenti</w:t>
      </w:r>
      <w:r w:rsidRPr="00656794">
        <w:rPr>
          <w:rFonts w:ascii="Arial" w:eastAsia="Times New Roman" w:hAnsi="Arial" w:cs="Arial"/>
          <w:color w:val="00B0F0"/>
          <w:sz w:val="20"/>
          <w:szCs w:val="20"/>
          <w:lang w:val="it-IT" w:eastAsia="en-IE"/>
        </w:rPr>
        <w:t xml:space="preserve"> esistenti</w:t>
      </w:r>
    </w:p>
    <w:p w14:paraId="7C0B2029" w14:textId="10AC5D79"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ZIL </w:t>
      </w:r>
      <w:r w:rsidR="005B54A9">
        <w:rPr>
          <w:rFonts w:ascii="Arial" w:hAnsi="Arial" w:cs="Arial"/>
          <w:color w:val="000000"/>
          <w:sz w:val="20"/>
          <w:szCs w:val="20"/>
          <w:lang w:val="it-IT"/>
        </w:rPr>
        <w:t>sotto</w:t>
      </w:r>
      <w:r w:rsidRPr="00656794">
        <w:rPr>
          <w:rFonts w:ascii="Arial" w:hAnsi="Arial" w:cs="Arial"/>
          <w:color w:val="000000"/>
          <w:sz w:val="20"/>
          <w:szCs w:val="20"/>
          <w:lang w:val="it-IT"/>
        </w:rPr>
        <w:t xml:space="preserve">scrive già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in Italia. Pertanto, non vengono introdotti nuovi rischi nel bilancio di ZIL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e quindi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di Z</w:t>
      </w:r>
      <w:r w:rsidR="005B54A9">
        <w:rPr>
          <w:rFonts w:ascii="Arial" w:hAnsi="Arial" w:cs="Arial"/>
          <w:color w:val="000000"/>
          <w:sz w:val="20"/>
          <w:szCs w:val="20"/>
          <w:lang w:val="it-IT"/>
        </w:rPr>
        <w:t>IL</w:t>
      </w:r>
      <w:r w:rsidR="00420F7E">
        <w:rPr>
          <w:rFonts w:ascii="Arial" w:hAnsi="Arial" w:cs="Arial"/>
          <w:color w:val="000000"/>
          <w:sz w:val="20"/>
          <w:szCs w:val="20"/>
          <w:lang w:val="it-IT"/>
        </w:rPr>
        <w:t xml:space="preserve"> esistenti</w:t>
      </w:r>
      <w:r w:rsidRPr="00656794">
        <w:rPr>
          <w:rFonts w:ascii="Arial" w:hAnsi="Arial" w:cs="Arial"/>
          <w:color w:val="000000"/>
          <w:sz w:val="20"/>
          <w:szCs w:val="20"/>
          <w:lang w:val="it-IT"/>
        </w:rPr>
        <w:t xml:space="preserve"> non sono svantaggiati a causa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51DDB189" w14:textId="3F8AA7B9" w:rsidR="003829D9" w:rsidRPr="00656794" w:rsidRDefault="003829D9" w:rsidP="008E246A">
      <w:pPr>
        <w:spacing w:before="139" w:after="0" w:line="240" w:lineRule="auto"/>
        <w:rPr>
          <w:rFonts w:ascii="Arial" w:eastAsia="Times New Roman" w:hAnsi="Arial" w:cs="Arial"/>
          <w:color w:val="00B0F0"/>
          <w:sz w:val="20"/>
          <w:szCs w:val="20"/>
          <w:lang w:val="it-IT" w:eastAsia="en-IE"/>
        </w:rPr>
      </w:pPr>
      <w:r w:rsidRPr="00656794">
        <w:rPr>
          <w:rFonts w:ascii="Arial" w:eastAsia="Times New Roman" w:hAnsi="Arial" w:cs="Arial"/>
          <w:color w:val="00B0F0"/>
          <w:sz w:val="20"/>
          <w:szCs w:val="20"/>
          <w:lang w:val="it-IT" w:eastAsia="en-IE"/>
        </w:rPr>
        <w:t xml:space="preserve">ZLAP – </w:t>
      </w:r>
      <w:r w:rsidR="00DC30A5">
        <w:rPr>
          <w:rFonts w:ascii="Arial" w:eastAsia="Times New Roman" w:hAnsi="Arial" w:cs="Arial"/>
          <w:color w:val="00B0F0"/>
          <w:sz w:val="20"/>
          <w:szCs w:val="20"/>
          <w:lang w:val="it-IT" w:eastAsia="en-IE"/>
        </w:rPr>
        <w:t>Contraenti</w:t>
      </w:r>
      <w:r w:rsidR="00FC47F7">
        <w:rPr>
          <w:rFonts w:ascii="Arial" w:eastAsia="Times New Roman" w:hAnsi="Arial" w:cs="Arial"/>
          <w:color w:val="00B0F0"/>
          <w:sz w:val="20"/>
          <w:szCs w:val="20"/>
          <w:lang w:val="it-IT" w:eastAsia="en-IE"/>
        </w:rPr>
        <w:t xml:space="preserve"> rimanenti</w:t>
      </w:r>
    </w:p>
    <w:p w14:paraId="40F0B5A7" w14:textId="455149F6"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Non ci sono problemi materiali da considerare per ZLAP. Poiché il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è relativamente irrilevante nel contesto del portafoglio più ampio di ZLAP, il trasferimento non ha alcun impatto sul profilo di rischio di ZLAP, quindi i restanti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non sono </w:t>
      </w:r>
      <w:r w:rsidR="005B54A9" w:rsidRPr="00656794">
        <w:rPr>
          <w:rFonts w:ascii="Arial" w:hAnsi="Arial" w:cs="Arial"/>
          <w:color w:val="000000"/>
          <w:sz w:val="20"/>
          <w:szCs w:val="20"/>
          <w:lang w:val="it-IT"/>
        </w:rPr>
        <w:t>in</w:t>
      </w:r>
      <w:r w:rsidR="005B54A9">
        <w:rPr>
          <w:rFonts w:ascii="Arial" w:hAnsi="Arial" w:cs="Arial"/>
          <w:color w:val="000000"/>
          <w:sz w:val="20"/>
          <w:szCs w:val="20"/>
          <w:lang w:val="it-IT"/>
        </w:rPr>
        <w:t xml:space="preserve">teressati </w:t>
      </w:r>
      <w:r w:rsidRPr="00656794">
        <w:rPr>
          <w:rFonts w:ascii="Arial" w:hAnsi="Arial" w:cs="Arial"/>
          <w:color w:val="000000"/>
          <w:sz w:val="20"/>
          <w:szCs w:val="20"/>
          <w:lang w:val="it-IT"/>
        </w:rPr>
        <w:t>negativamente.</w:t>
      </w:r>
    </w:p>
    <w:p w14:paraId="0D0838FA" w14:textId="6986A212" w:rsidR="008E246A" w:rsidRPr="00656794" w:rsidRDefault="003829D9" w:rsidP="008E246A">
      <w:pPr>
        <w:spacing w:before="139" w:after="0" w:line="240" w:lineRule="auto"/>
        <w:rPr>
          <w:rFonts w:ascii="Arial" w:eastAsia="Times New Roman" w:hAnsi="Arial" w:cs="Arial"/>
          <w:color w:val="00B0F0"/>
          <w:sz w:val="20"/>
          <w:szCs w:val="20"/>
          <w:lang w:val="it-IT" w:eastAsia="en-IE"/>
        </w:rPr>
      </w:pPr>
      <w:r w:rsidRPr="00656794">
        <w:rPr>
          <w:rFonts w:ascii="Arial" w:eastAsia="Times New Roman" w:hAnsi="Arial" w:cs="Arial"/>
          <w:color w:val="00B0F0"/>
          <w:sz w:val="20"/>
          <w:szCs w:val="20"/>
          <w:lang w:val="it-IT" w:eastAsia="en-IE"/>
        </w:rPr>
        <w:t xml:space="preserve">ZLAP – Trasferimento </w:t>
      </w:r>
      <w:r w:rsidR="00236DFA">
        <w:rPr>
          <w:rFonts w:ascii="Arial" w:eastAsia="Times New Roman" w:hAnsi="Arial" w:cs="Arial"/>
          <w:color w:val="00B0F0"/>
          <w:sz w:val="20"/>
          <w:szCs w:val="20"/>
          <w:lang w:val="it-IT" w:eastAsia="en-IE"/>
        </w:rPr>
        <w:t xml:space="preserve">dei </w:t>
      </w:r>
      <w:r w:rsidR="00DC30A5">
        <w:rPr>
          <w:rFonts w:ascii="Arial" w:eastAsia="Times New Roman" w:hAnsi="Arial" w:cs="Arial"/>
          <w:color w:val="00B0F0"/>
          <w:sz w:val="20"/>
          <w:szCs w:val="20"/>
          <w:lang w:val="it-IT" w:eastAsia="en-IE"/>
        </w:rPr>
        <w:t>contraenti</w:t>
      </w:r>
      <w:r w:rsidR="000A1AB2">
        <w:rPr>
          <w:rFonts w:ascii="Arial" w:eastAsia="Times New Roman" w:hAnsi="Arial" w:cs="Arial"/>
          <w:color w:val="00B0F0"/>
          <w:sz w:val="20"/>
          <w:szCs w:val="20"/>
          <w:lang w:val="it-IT" w:eastAsia="en-IE"/>
        </w:rPr>
        <w:t xml:space="preserve"> </w:t>
      </w:r>
      <w:r w:rsidR="00AD0F9C">
        <w:rPr>
          <w:rFonts w:ascii="Arial" w:eastAsia="Times New Roman" w:hAnsi="Arial" w:cs="Arial"/>
          <w:color w:val="00B0F0"/>
          <w:sz w:val="20"/>
          <w:szCs w:val="20"/>
          <w:lang w:val="it-IT" w:eastAsia="en-IE"/>
        </w:rPr>
        <w:t>rientranti</w:t>
      </w:r>
      <w:r w:rsidR="000A1AB2">
        <w:rPr>
          <w:rFonts w:ascii="Arial" w:eastAsia="Times New Roman" w:hAnsi="Arial" w:cs="Arial"/>
          <w:color w:val="00B0F0"/>
          <w:sz w:val="20"/>
          <w:szCs w:val="20"/>
          <w:lang w:val="it-IT" w:eastAsia="en-IE"/>
        </w:rPr>
        <w:t xml:space="preserve"> nel perimetro di trasferimento</w:t>
      </w:r>
    </w:p>
    <w:p w14:paraId="53F5B314" w14:textId="314B300D"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La differenza chiave nel business mix tra entrambe le entità è la significativa esposizione di ZIL alle attività </w:t>
      </w:r>
      <w:r w:rsidR="00446E83">
        <w:rPr>
          <w:rFonts w:ascii="Arial" w:hAnsi="Arial" w:cs="Arial"/>
          <w:color w:val="000000"/>
          <w:sz w:val="20"/>
          <w:szCs w:val="20"/>
          <w:lang w:val="it-IT"/>
        </w:rPr>
        <w:t>con profitto</w:t>
      </w:r>
      <w:r w:rsidRPr="00656794">
        <w:rPr>
          <w:rFonts w:ascii="Arial" w:hAnsi="Arial" w:cs="Arial"/>
          <w:color w:val="000000"/>
          <w:sz w:val="20"/>
          <w:szCs w:val="20"/>
          <w:lang w:val="it-IT"/>
        </w:rPr>
        <w:t xml:space="preserve"> e</w:t>
      </w:r>
      <w:r w:rsidR="00626E3B">
        <w:rPr>
          <w:rFonts w:ascii="Arial" w:hAnsi="Arial" w:cs="Arial"/>
          <w:color w:val="000000"/>
          <w:sz w:val="20"/>
          <w:szCs w:val="20"/>
          <w:lang w:val="it-IT"/>
        </w:rPr>
        <w:t>d</w:t>
      </w:r>
      <w:r w:rsidRPr="00656794">
        <w:rPr>
          <w:rFonts w:ascii="Arial" w:hAnsi="Arial" w:cs="Arial"/>
          <w:color w:val="000000"/>
          <w:sz w:val="20"/>
          <w:szCs w:val="20"/>
          <w:lang w:val="it-IT"/>
        </w:rPr>
        <w:t xml:space="preserve"> ibride che rappresentano il 94% delle riserve tecniche al 31 dicembre 2020. Sebbene ZLAP </w:t>
      </w:r>
      <w:r w:rsidR="005B54A9">
        <w:rPr>
          <w:rFonts w:ascii="Arial" w:hAnsi="Arial" w:cs="Arial"/>
          <w:color w:val="000000"/>
          <w:sz w:val="20"/>
          <w:szCs w:val="20"/>
          <w:lang w:val="it-IT"/>
        </w:rPr>
        <w:t>sotto</w:t>
      </w:r>
      <w:r w:rsidRPr="00656794">
        <w:rPr>
          <w:rFonts w:ascii="Arial" w:hAnsi="Arial" w:cs="Arial"/>
          <w:color w:val="000000"/>
          <w:sz w:val="20"/>
          <w:szCs w:val="20"/>
          <w:lang w:val="it-IT"/>
        </w:rPr>
        <w:t xml:space="preserve">scriva anche attività </w:t>
      </w:r>
      <w:r w:rsidR="00446E83">
        <w:rPr>
          <w:rFonts w:ascii="Arial" w:hAnsi="Arial" w:cs="Arial"/>
          <w:color w:val="000000"/>
          <w:sz w:val="20"/>
          <w:szCs w:val="20"/>
          <w:lang w:val="it-IT"/>
        </w:rPr>
        <w:t>con profitto</w:t>
      </w:r>
      <w:r w:rsidRPr="00656794">
        <w:rPr>
          <w:rFonts w:ascii="Arial" w:hAnsi="Arial" w:cs="Arial"/>
          <w:color w:val="000000"/>
          <w:sz w:val="20"/>
          <w:szCs w:val="20"/>
          <w:lang w:val="it-IT"/>
        </w:rPr>
        <w:t>, non è sulla stessa scala d</w:t>
      </w:r>
      <w:r w:rsidR="00626E3B">
        <w:rPr>
          <w:rFonts w:ascii="Arial" w:hAnsi="Arial" w:cs="Arial"/>
          <w:color w:val="000000"/>
          <w:sz w:val="20"/>
          <w:szCs w:val="20"/>
          <w:lang w:val="it-IT"/>
        </w:rPr>
        <w:t xml:space="preserve">i </w:t>
      </w:r>
      <w:r w:rsidRPr="00656794">
        <w:rPr>
          <w:rFonts w:ascii="Arial" w:hAnsi="Arial" w:cs="Arial"/>
          <w:color w:val="000000"/>
          <w:sz w:val="20"/>
          <w:szCs w:val="20"/>
          <w:lang w:val="it-IT"/>
        </w:rPr>
        <w:t xml:space="preserve">esposizione di ZIL. Pertanto, per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italiani, vi è un leggero cambiamento nel profilo di rischio in quanto tali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diventeranno più esposti ai rischi associati alla scrittura di attività </w:t>
      </w:r>
      <w:r w:rsidR="00446E83">
        <w:rPr>
          <w:rFonts w:ascii="Arial" w:hAnsi="Arial" w:cs="Arial"/>
          <w:color w:val="000000"/>
          <w:sz w:val="20"/>
          <w:szCs w:val="20"/>
          <w:lang w:val="it-IT"/>
        </w:rPr>
        <w:t>con profitto</w:t>
      </w:r>
      <w:r w:rsidRPr="00656794">
        <w:rPr>
          <w:rFonts w:ascii="Arial" w:hAnsi="Arial" w:cs="Arial"/>
          <w:color w:val="000000"/>
          <w:sz w:val="20"/>
          <w:szCs w:val="20"/>
          <w:lang w:val="it-IT"/>
        </w:rPr>
        <w:t>. Tuttavia, mentre viene introdotta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ulteriore esposizione, ZIL ha esperienza nella gestione di questi rischi.</w:t>
      </w:r>
    </w:p>
    <w:p w14:paraId="536BB44A" w14:textId="6BF51053" w:rsidR="003B2766" w:rsidRPr="00656794" w:rsidRDefault="003B2766"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Il </w:t>
      </w:r>
      <w:r>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unit-linked italiano di ZLAP è un </w:t>
      </w:r>
      <w:r>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w:t>
      </w:r>
      <w:r>
        <w:rPr>
          <w:rFonts w:ascii="Arial" w:hAnsi="Arial" w:cs="Arial"/>
          <w:color w:val="000000"/>
          <w:sz w:val="20"/>
          <w:szCs w:val="20"/>
          <w:lang w:val="it-IT"/>
        </w:rPr>
        <w:t>in run-off</w:t>
      </w:r>
      <w:r w:rsidRPr="00656794">
        <w:rPr>
          <w:rFonts w:ascii="Arial" w:hAnsi="Arial" w:cs="Arial"/>
          <w:color w:val="000000"/>
          <w:sz w:val="20"/>
          <w:szCs w:val="20"/>
          <w:lang w:val="it-IT"/>
        </w:rPr>
        <w:t xml:space="preserve">, </w:t>
      </w:r>
      <w:r>
        <w:rPr>
          <w:rFonts w:ascii="Arial" w:hAnsi="Arial" w:cs="Arial"/>
          <w:color w:val="000000"/>
          <w:sz w:val="20"/>
          <w:szCs w:val="20"/>
          <w:lang w:val="it-IT"/>
        </w:rPr>
        <w:t>senza l’opportunità di sottoscrivere nuove polizze</w:t>
      </w:r>
      <w:r w:rsidRPr="00656794">
        <w:rPr>
          <w:rFonts w:ascii="Arial" w:hAnsi="Arial" w:cs="Arial"/>
          <w:color w:val="000000"/>
          <w:sz w:val="20"/>
          <w:szCs w:val="20"/>
          <w:lang w:val="it-IT"/>
        </w:rPr>
        <w:t xml:space="preserve">. Man mano che </w:t>
      </w:r>
      <w:r>
        <w:rPr>
          <w:rFonts w:ascii="Arial" w:hAnsi="Arial" w:cs="Arial"/>
          <w:color w:val="000000"/>
          <w:sz w:val="20"/>
          <w:szCs w:val="20"/>
          <w:lang w:val="it-IT"/>
        </w:rPr>
        <w:t>il numero complessivo</w:t>
      </w:r>
      <w:r w:rsidRPr="00656794">
        <w:rPr>
          <w:rFonts w:ascii="Arial" w:hAnsi="Arial" w:cs="Arial"/>
          <w:color w:val="000000"/>
          <w:sz w:val="20"/>
          <w:szCs w:val="20"/>
          <w:lang w:val="it-IT"/>
        </w:rPr>
        <w:t xml:space="preserve"> delle </w:t>
      </w:r>
      <w:r>
        <w:rPr>
          <w:rFonts w:ascii="Arial" w:hAnsi="Arial" w:cs="Arial"/>
          <w:color w:val="000000"/>
          <w:sz w:val="20"/>
          <w:szCs w:val="20"/>
          <w:lang w:val="it-IT"/>
        </w:rPr>
        <w:t>unità</w:t>
      </w:r>
      <w:r w:rsidRPr="00656794">
        <w:rPr>
          <w:rFonts w:ascii="Arial" w:hAnsi="Arial" w:cs="Arial"/>
          <w:color w:val="000000"/>
          <w:sz w:val="20"/>
          <w:szCs w:val="20"/>
          <w:lang w:val="it-IT"/>
        </w:rPr>
        <w:t xml:space="preserve"> diminuisce po</w:t>
      </w:r>
      <w:r>
        <w:rPr>
          <w:rFonts w:ascii="Arial" w:hAnsi="Arial" w:cs="Arial"/>
          <w:color w:val="000000"/>
          <w:sz w:val="20"/>
          <w:szCs w:val="20"/>
          <w:lang w:val="it-IT"/>
        </w:rPr>
        <w:t>trebbero</w:t>
      </w:r>
      <w:r w:rsidRPr="00656794">
        <w:rPr>
          <w:rFonts w:ascii="Arial" w:hAnsi="Arial" w:cs="Arial"/>
          <w:color w:val="000000"/>
          <w:sz w:val="20"/>
          <w:szCs w:val="20"/>
          <w:lang w:val="it-IT"/>
        </w:rPr>
        <w:t xml:space="preserve"> sorgere problemi relativi alle economie di scala in aree quali la gestione delle spese e del capitale, poiché le spese generali possono essere elevate rispetto alle dimensioni del </w:t>
      </w:r>
      <w:r>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Tali problemi non emergono in genere nel breve e medio termine. Non credo che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collegati italiani siano svantaggiati </w:t>
      </w:r>
      <w:r>
        <w:rPr>
          <w:rFonts w:ascii="Arial" w:hAnsi="Arial" w:cs="Arial"/>
          <w:color w:val="000000"/>
          <w:sz w:val="20"/>
          <w:szCs w:val="20"/>
          <w:lang w:val="it-IT"/>
        </w:rPr>
        <w:t>dall’</w:t>
      </w:r>
      <w:r w:rsidR="00A82666">
        <w:rPr>
          <w:rFonts w:ascii="Arial" w:hAnsi="Arial" w:cs="Arial"/>
          <w:color w:val="000000"/>
          <w:sz w:val="20"/>
          <w:szCs w:val="20"/>
          <w:lang w:val="it-IT"/>
        </w:rPr>
        <w:t>Atto di Trasferimento</w:t>
      </w:r>
      <w:r>
        <w:rPr>
          <w:rFonts w:ascii="Arial" w:hAnsi="Arial" w:cs="Arial"/>
          <w:color w:val="000000"/>
          <w:sz w:val="20"/>
          <w:szCs w:val="20"/>
          <w:lang w:val="it-IT"/>
        </w:rPr>
        <w:t>,</w:t>
      </w:r>
      <w:r w:rsidRPr="00656794">
        <w:rPr>
          <w:rFonts w:ascii="Arial" w:hAnsi="Arial" w:cs="Arial"/>
          <w:color w:val="000000"/>
          <w:sz w:val="20"/>
          <w:szCs w:val="20"/>
          <w:lang w:val="it-IT"/>
        </w:rPr>
        <w:t xml:space="preserve"> poiché la strategia di ZIL è quella di continuare a </w:t>
      </w:r>
      <w:r>
        <w:rPr>
          <w:rFonts w:ascii="Arial" w:hAnsi="Arial" w:cs="Arial"/>
          <w:color w:val="000000"/>
          <w:sz w:val="20"/>
          <w:szCs w:val="20"/>
          <w:lang w:val="it-IT"/>
        </w:rPr>
        <w:t>sotto</w:t>
      </w:r>
      <w:r w:rsidRPr="00656794">
        <w:rPr>
          <w:rFonts w:ascii="Arial" w:hAnsi="Arial" w:cs="Arial"/>
          <w:color w:val="000000"/>
          <w:sz w:val="20"/>
          <w:szCs w:val="20"/>
          <w:lang w:val="it-IT"/>
        </w:rPr>
        <w:t xml:space="preserve">scrivere attività </w:t>
      </w:r>
      <w:r>
        <w:rPr>
          <w:rFonts w:ascii="Arial" w:hAnsi="Arial" w:cs="Arial"/>
          <w:color w:val="000000"/>
          <w:sz w:val="20"/>
          <w:szCs w:val="20"/>
          <w:lang w:val="it-IT"/>
        </w:rPr>
        <w:t>unit-linked</w:t>
      </w:r>
      <w:r w:rsidRPr="00656794">
        <w:rPr>
          <w:rFonts w:ascii="Arial" w:hAnsi="Arial" w:cs="Arial"/>
          <w:color w:val="000000"/>
          <w:sz w:val="20"/>
          <w:szCs w:val="20"/>
          <w:lang w:val="it-IT"/>
        </w:rPr>
        <w:t xml:space="preserve"> e gestire i rischi delle economie di scala</w:t>
      </w:r>
      <w:r>
        <w:rPr>
          <w:rFonts w:ascii="Arial" w:hAnsi="Arial" w:cs="Arial"/>
          <w:color w:val="000000"/>
          <w:sz w:val="20"/>
          <w:szCs w:val="20"/>
          <w:lang w:val="it-IT"/>
        </w:rPr>
        <w:t xml:space="preserve"> e</w:t>
      </w:r>
      <w:r w:rsidRPr="00656794">
        <w:rPr>
          <w:rFonts w:ascii="Arial" w:hAnsi="Arial" w:cs="Arial"/>
          <w:color w:val="000000"/>
          <w:sz w:val="20"/>
          <w:szCs w:val="20"/>
          <w:lang w:val="it-IT"/>
        </w:rPr>
        <w:t xml:space="preserve"> questo costituisce una parte fondamentale del suo </w:t>
      </w:r>
      <w:r>
        <w:rPr>
          <w:rFonts w:ascii="Arial" w:hAnsi="Arial" w:cs="Arial"/>
          <w:color w:val="000000"/>
          <w:sz w:val="20"/>
          <w:szCs w:val="20"/>
          <w:lang w:val="it-IT"/>
        </w:rPr>
        <w:t xml:space="preserve">piano </w:t>
      </w:r>
      <w:r w:rsidRPr="00656794">
        <w:rPr>
          <w:rFonts w:ascii="Arial" w:hAnsi="Arial" w:cs="Arial"/>
          <w:color w:val="000000"/>
          <w:sz w:val="20"/>
          <w:szCs w:val="20"/>
          <w:lang w:val="it-IT"/>
        </w:rPr>
        <w:t xml:space="preserve">aziendale </w:t>
      </w:r>
      <w:r>
        <w:rPr>
          <w:rFonts w:ascii="Arial" w:hAnsi="Arial" w:cs="Arial"/>
          <w:color w:val="000000"/>
          <w:sz w:val="20"/>
          <w:szCs w:val="20"/>
          <w:lang w:val="it-IT"/>
        </w:rPr>
        <w:t xml:space="preserve">strategico </w:t>
      </w:r>
      <w:r w:rsidRPr="00656794">
        <w:rPr>
          <w:rFonts w:ascii="Arial" w:hAnsi="Arial" w:cs="Arial"/>
          <w:color w:val="000000"/>
          <w:sz w:val="20"/>
          <w:szCs w:val="20"/>
          <w:lang w:val="it-IT"/>
        </w:rPr>
        <w:t xml:space="preserve">per il futuro. </w:t>
      </w:r>
    </w:p>
    <w:p w14:paraId="2BA5949D" w14:textId="77777777"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7.3.2 Schemi di compensazione</w:t>
      </w:r>
    </w:p>
    <w:p w14:paraId="2AAEF837" w14:textId="0EB2461B"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In Irlanda non esistono regimi di compensazione specifici a livello di settore in relazione ai titolari di polizze assicurative sulla vita. La posizione è simile in Italia, senza uno schema di compensazione specifico disponibile. In quanto tale, non vi è alcun impatto sulla compensazione per nessun gruppo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a seguito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53F2FA58" w14:textId="4A94EB70" w:rsidR="003829D9" w:rsidRPr="00656794" w:rsidRDefault="003829D9" w:rsidP="003829D9">
      <w:pPr>
        <w:pStyle w:val="NormalWeb"/>
        <w:ind w:right="102"/>
        <w:jc w:val="both"/>
        <w:rPr>
          <w:rFonts w:ascii="Arial" w:hAnsi="Arial" w:cs="Arial"/>
          <w:b/>
          <w:bCs/>
          <w:color w:val="00338D"/>
          <w:sz w:val="28"/>
          <w:szCs w:val="28"/>
          <w:lang w:val="it-IT"/>
        </w:rPr>
      </w:pPr>
      <w:r w:rsidRPr="00656794">
        <w:rPr>
          <w:rFonts w:ascii="Arial" w:hAnsi="Arial" w:cs="Arial"/>
          <w:b/>
          <w:bCs/>
          <w:color w:val="00338D"/>
          <w:sz w:val="28"/>
          <w:szCs w:val="28"/>
          <w:lang w:val="it-IT"/>
        </w:rPr>
        <w:lastRenderedPageBreak/>
        <w:t xml:space="preserve">7.4 </w:t>
      </w:r>
      <w:r w:rsidR="008E246A" w:rsidRPr="00656794">
        <w:rPr>
          <w:rFonts w:ascii="Arial" w:hAnsi="Arial" w:cs="Arial"/>
          <w:b/>
          <w:bCs/>
          <w:color w:val="00338D"/>
          <w:sz w:val="28"/>
          <w:szCs w:val="28"/>
          <w:lang w:val="it-IT"/>
        </w:rPr>
        <w:t>Accordi di riassicurazione</w:t>
      </w:r>
    </w:p>
    <w:p w14:paraId="339B4F70" w14:textId="075BE78C"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È in essere una riassicurazione su un numero limitato di polizze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 portafoglio 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Per meno di 100 polizze che hanno un rider di protezione,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indennità di protezione è retrocessa del 50% a ZIC (società madre).</w:t>
      </w:r>
    </w:p>
    <w:p w14:paraId="68434F15" w14:textId="015C9305"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Come definito da entrambe le parti,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accordo riassicurativo in essere con riferimento al portafoglio di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non sarà trasferito e sarà annullato. Non è rilevante con un premio di riassicurazione annuo compreso tra € </w:t>
      </w:r>
      <w:r w:rsidR="006172C6">
        <w:rPr>
          <w:rFonts w:ascii="Arial" w:hAnsi="Arial" w:cs="Arial"/>
          <w:color w:val="000000"/>
          <w:sz w:val="20"/>
          <w:szCs w:val="20"/>
          <w:lang w:val="it-IT"/>
        </w:rPr>
        <w:t>10.000 e € 15.000</w:t>
      </w:r>
      <w:r w:rsidRPr="00656794">
        <w:rPr>
          <w:rFonts w:ascii="Arial" w:hAnsi="Arial" w:cs="Arial"/>
          <w:color w:val="000000"/>
          <w:sz w:val="20"/>
          <w:szCs w:val="20"/>
          <w:lang w:val="it-IT"/>
        </w:rPr>
        <w:t>. Ciò non ha un impatto materiale sul profilo di rischio di ZIL o sui suoi requisiti patrimoniali.</w:t>
      </w:r>
    </w:p>
    <w:p w14:paraId="793DB8D5" w14:textId="5D1AB350"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non sono in essere altri accordi di riassicurazione.</w:t>
      </w:r>
    </w:p>
    <w:p w14:paraId="2A00E51D" w14:textId="51830B41"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Gli accordi di riassicurazione esistenti su altri portafogli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di ZLAP non saranno influenzati dal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Gli accordi di riassicurazione esistenti su altri portafogli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di ZIL non saranno influenzati dal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0DA07D08" w14:textId="2ECCD00F" w:rsidR="003829D9" w:rsidRPr="00656794" w:rsidRDefault="003829D9" w:rsidP="00D76A36">
      <w:pPr>
        <w:spacing w:before="281"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7.5 </w:t>
      </w:r>
      <w:r w:rsidR="00D76A36" w:rsidRPr="00656794">
        <w:rPr>
          <w:rFonts w:ascii="Arial" w:eastAsia="Times New Roman" w:hAnsi="Arial" w:cs="Arial"/>
          <w:b/>
          <w:bCs/>
          <w:color w:val="00338D"/>
          <w:sz w:val="28"/>
          <w:szCs w:val="28"/>
          <w:lang w:val="it-IT" w:eastAsia="en-IE"/>
        </w:rPr>
        <w:t>Aspetti vari</w:t>
      </w:r>
      <w:r w:rsidRPr="00656794">
        <w:rPr>
          <w:rFonts w:ascii="Arial" w:eastAsia="Times New Roman" w:hAnsi="Arial" w:cs="Arial"/>
          <w:b/>
          <w:bCs/>
          <w:color w:val="00338D"/>
          <w:sz w:val="28"/>
          <w:szCs w:val="28"/>
          <w:lang w:val="it-IT" w:eastAsia="en-IE"/>
        </w:rPr>
        <w:t> </w:t>
      </w:r>
    </w:p>
    <w:p w14:paraId="60E958E6" w14:textId="531562EF" w:rsidR="003829D9" w:rsidRPr="00656794" w:rsidRDefault="003829D9" w:rsidP="00D76A36">
      <w:pPr>
        <w:spacing w:before="138"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7.5.1 </w:t>
      </w:r>
      <w:r w:rsidR="00D76A36" w:rsidRPr="00656794">
        <w:rPr>
          <w:rFonts w:ascii="Arial" w:eastAsia="Times New Roman" w:hAnsi="Arial" w:cs="Arial"/>
          <w:color w:val="00338D"/>
          <w:sz w:val="24"/>
          <w:szCs w:val="24"/>
          <w:lang w:val="it-IT" w:eastAsia="en-IE"/>
        </w:rPr>
        <w:t>Valutazione delle ipotesi</w:t>
      </w:r>
    </w:p>
    <w:p w14:paraId="0A6A6DD9" w14:textId="39BC7DB1"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della sezione 2.1.4 che precede, sono state formulate una serie di assunzioni che stanno alla base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analisi e delle conclusioni esposte nella presente Relazione. Come notato sopra, se una qualsiasi di queste ipotesi dovesse cambiare, anche la mia opinione potrebbe cambiare.</w:t>
      </w:r>
    </w:p>
    <w:p w14:paraId="3004E098" w14:textId="44128B88"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Di seguito, ho replicato e considerato (in corsivo) ciascuna delle ipotesi rilevanti di cui alla sezione 2.1.4 e ho esposto i potenziali impatti che potrebbero avere sulla mia opinione </w:t>
      </w:r>
      <w:r w:rsidR="005B7BBB" w:rsidRPr="00656794">
        <w:rPr>
          <w:rFonts w:ascii="Arial" w:hAnsi="Arial" w:cs="Arial"/>
          <w:color w:val="000000"/>
          <w:sz w:val="20"/>
          <w:szCs w:val="20"/>
          <w:lang w:val="it-IT"/>
        </w:rPr>
        <w:t>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4628FAFD" w14:textId="2BA64EB2"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In termini di corrispettivo per la cessione del </w:t>
      </w:r>
      <w:r w:rsidR="00580879">
        <w:rPr>
          <w:rFonts w:ascii="Arial" w:hAnsi="Arial" w:cs="Arial"/>
          <w:color w:val="000000"/>
          <w:sz w:val="20"/>
          <w:szCs w:val="20"/>
          <w:lang w:val="it-IT"/>
        </w:rPr>
        <w:t>portafoglio assicurativo</w:t>
      </w:r>
      <w:r w:rsidRPr="00656794">
        <w:rPr>
          <w:rFonts w:ascii="Arial" w:hAnsi="Arial" w:cs="Arial"/>
          <w:color w:val="000000"/>
          <w:sz w:val="20"/>
          <w:szCs w:val="20"/>
          <w:lang w:val="it-IT"/>
        </w:rPr>
        <w:t xml:space="preserve"> italiano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ZLAP riceverà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attività di partecipazione sotto forma di capitale sociale di ZIL, che ZLAP venderà alla </w:t>
      </w:r>
      <w:r w:rsidR="005A3D91">
        <w:rPr>
          <w:rFonts w:ascii="Arial" w:hAnsi="Arial" w:cs="Arial"/>
          <w:color w:val="000000"/>
          <w:sz w:val="20"/>
          <w:szCs w:val="20"/>
          <w:lang w:val="it-IT"/>
        </w:rPr>
        <w:t>branch</w:t>
      </w:r>
      <w:r w:rsidRPr="00656794">
        <w:rPr>
          <w:rFonts w:ascii="Arial" w:hAnsi="Arial" w:cs="Arial"/>
          <w:color w:val="000000"/>
          <w:sz w:val="20"/>
          <w:szCs w:val="20"/>
          <w:lang w:val="it-IT"/>
        </w:rPr>
        <w:t xml:space="preserve"> italiana ZIC non appena possibile. Questa forma di pagamento è nota come benefi</w:t>
      </w:r>
      <w:r w:rsidR="009D3FDB">
        <w:rPr>
          <w:rFonts w:ascii="Arial" w:hAnsi="Arial" w:cs="Arial"/>
          <w:color w:val="000000"/>
          <w:sz w:val="20"/>
          <w:szCs w:val="20"/>
          <w:lang w:val="it-IT"/>
        </w:rPr>
        <w:t>cio</w:t>
      </w:r>
      <w:r w:rsidRPr="00656794">
        <w:rPr>
          <w:rFonts w:ascii="Arial" w:hAnsi="Arial" w:cs="Arial"/>
          <w:color w:val="000000"/>
          <w:sz w:val="20"/>
          <w:szCs w:val="20"/>
          <w:lang w:val="it-IT"/>
        </w:rPr>
        <w:t xml:space="preserve"> in natura.</w:t>
      </w:r>
    </w:p>
    <w:p w14:paraId="2D319899" w14:textId="2C740953" w:rsidR="003829D9" w:rsidRPr="00656794" w:rsidRDefault="003829D9" w:rsidP="003829D9">
      <w:pPr>
        <w:pStyle w:val="NormalWeb"/>
        <w:ind w:right="102"/>
        <w:jc w:val="both"/>
        <w:rPr>
          <w:rFonts w:ascii="Arial" w:hAnsi="Arial" w:cs="Arial"/>
          <w:color w:val="000000"/>
          <w:sz w:val="20"/>
          <w:szCs w:val="20"/>
          <w:lang w:val="it-IT"/>
        </w:rPr>
      </w:pPr>
      <w:r w:rsidRPr="00110CD2">
        <w:rPr>
          <w:rFonts w:ascii="Arial" w:hAnsi="Arial" w:cs="Arial"/>
          <w:i/>
          <w:iCs/>
          <w:color w:val="000000"/>
          <w:sz w:val="20"/>
          <w:szCs w:val="20"/>
          <w:lang w:val="it-IT"/>
        </w:rPr>
        <w:t>Questa non è un</w:t>
      </w:r>
      <w:r w:rsidR="00F23A40" w:rsidRPr="00110CD2">
        <w:rPr>
          <w:rFonts w:ascii="Arial" w:hAnsi="Arial" w:cs="Arial"/>
          <w:i/>
          <w:iCs/>
          <w:color w:val="000000"/>
          <w:sz w:val="20"/>
          <w:szCs w:val="20"/>
          <w:lang w:val="it-IT"/>
        </w:rPr>
        <w:t>’</w:t>
      </w:r>
      <w:r w:rsidRPr="00110CD2">
        <w:rPr>
          <w:rFonts w:ascii="Arial" w:hAnsi="Arial" w:cs="Arial"/>
          <w:i/>
          <w:iCs/>
          <w:color w:val="000000"/>
          <w:sz w:val="20"/>
          <w:szCs w:val="20"/>
          <w:lang w:val="it-IT"/>
        </w:rPr>
        <w:t>ipotesi materiale, ma riflette i meccanismi previsti della transazione tra ZLAP e ZIL. Ma qualsiasi accordo di pagamento alternativo potrebbe avere un impatto sul bilancio pro forma, che avrei quindi bisogno di riconsiderare</w:t>
      </w:r>
      <w:r w:rsidRPr="00656794">
        <w:rPr>
          <w:rFonts w:ascii="Arial" w:hAnsi="Arial" w:cs="Arial"/>
          <w:color w:val="000000"/>
          <w:sz w:val="20"/>
          <w:szCs w:val="20"/>
          <w:lang w:val="it-IT"/>
        </w:rPr>
        <w:t>.</w:t>
      </w:r>
    </w:p>
    <w:p w14:paraId="62B7F381" w14:textId="722AF406"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Laddove gli attuali fondi offerti da ZLAP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AD0F9C">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non saranno disponibili per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AD0F9C">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dopo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i fondi saranno trasferiti a fondi sostitutivi che sono stati concordati con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prima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che forniscono lo stesso o mandati di investimento simili, prestazioni e costi in linea con le aspettative ragionevoli del contraente e i termini e le condizioni della polizza.</w:t>
      </w:r>
    </w:p>
    <w:p w14:paraId="16D12FD6" w14:textId="65BF1C9F" w:rsidR="00ED4F4E" w:rsidRPr="00656794" w:rsidRDefault="003829D9" w:rsidP="00D76A36">
      <w:pPr>
        <w:pStyle w:val="NormalWeb"/>
        <w:numPr>
          <w:ilvl w:val="0"/>
          <w:numId w:val="26"/>
        </w:numPr>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Per la maggior parte delle attività in gestione non ci saranno modifiche all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offerta del fondo a seguito del</w:t>
      </w:r>
      <w:r w:rsidR="00F470FD">
        <w:rPr>
          <w:rFonts w:ascii="Arial" w:hAnsi="Arial" w:cs="Arial"/>
          <w:i/>
          <w:iCs/>
          <w:color w:val="000000"/>
          <w:sz w:val="20"/>
          <w:szCs w:val="20"/>
          <w:lang w:val="it-IT"/>
        </w:rPr>
        <w:t>l’</w:t>
      </w:r>
      <w:r w:rsidR="00AE4256">
        <w:rPr>
          <w:rFonts w:ascii="Arial" w:hAnsi="Arial" w:cs="Arial"/>
          <w:i/>
          <w:iCs/>
          <w:color w:val="000000"/>
          <w:sz w:val="20"/>
          <w:szCs w:val="20"/>
          <w:lang w:val="it-IT"/>
        </w:rPr>
        <w:t>Atto di Trasferimento</w:t>
      </w:r>
      <w:r w:rsidRPr="00656794">
        <w:rPr>
          <w:rFonts w:ascii="Arial" w:hAnsi="Arial" w:cs="Arial"/>
          <w:i/>
          <w:iCs/>
          <w:color w:val="000000"/>
          <w:sz w:val="20"/>
          <w:szCs w:val="20"/>
          <w:lang w:val="it-IT"/>
        </w:rPr>
        <w:t>. Ciò include tutti i beni relativi alla libertà di stabilimento (1,76 miliardi di euro a 20 anni).</w:t>
      </w:r>
    </w:p>
    <w:p w14:paraId="46059878" w14:textId="2630882E" w:rsidR="003829D9" w:rsidRPr="00656794" w:rsidRDefault="003829D9" w:rsidP="00D76A36">
      <w:pPr>
        <w:pStyle w:val="NormalWeb"/>
        <w:numPr>
          <w:ilvl w:val="0"/>
          <w:numId w:val="26"/>
        </w:numPr>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Per il 34% degli asset in gestione della libertà di servizi (ossia il 34% di 63 milioni di euro) i fondi sono fondi specifici ZLAP che non trasferiranno nell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ambito del</w:t>
      </w:r>
      <w:r w:rsidR="00F470FD">
        <w:rPr>
          <w:rFonts w:ascii="Arial" w:hAnsi="Arial" w:cs="Arial"/>
          <w:i/>
          <w:iCs/>
          <w:color w:val="000000"/>
          <w:sz w:val="20"/>
          <w:szCs w:val="20"/>
          <w:lang w:val="it-IT"/>
        </w:rPr>
        <w:t>l’</w:t>
      </w:r>
      <w:r w:rsidR="00AE4256">
        <w:rPr>
          <w:rFonts w:ascii="Arial" w:hAnsi="Arial" w:cs="Arial"/>
          <w:i/>
          <w:iCs/>
          <w:color w:val="000000"/>
          <w:sz w:val="20"/>
          <w:szCs w:val="20"/>
          <w:lang w:val="it-IT"/>
        </w:rPr>
        <w:t>Atto di Trasferimento</w:t>
      </w:r>
      <w:r w:rsidRPr="00656794">
        <w:rPr>
          <w:rFonts w:ascii="Arial" w:hAnsi="Arial" w:cs="Arial"/>
          <w:i/>
          <w:iCs/>
          <w:color w:val="000000"/>
          <w:sz w:val="20"/>
          <w:szCs w:val="20"/>
          <w:lang w:val="it-IT"/>
        </w:rPr>
        <w:t xml:space="preserve">, fondi alternativi con esposizioni al rischio simili e oneri del fondo uguali o inferiori, sarà offerto </w:t>
      </w:r>
      <w:r w:rsidR="00236DFA">
        <w:rPr>
          <w:rFonts w:ascii="Arial" w:hAnsi="Arial" w:cs="Arial"/>
          <w:i/>
          <w:iCs/>
          <w:color w:val="000000"/>
          <w:sz w:val="20"/>
          <w:szCs w:val="20"/>
          <w:lang w:val="it-IT"/>
        </w:rPr>
        <w:t>ai</w:t>
      </w:r>
      <w:r w:rsidR="00236DFA" w:rsidRPr="00656794">
        <w:rPr>
          <w:rFonts w:ascii="Arial" w:hAnsi="Arial" w:cs="Arial"/>
          <w:i/>
          <w:iCs/>
          <w:color w:val="000000"/>
          <w:sz w:val="20"/>
          <w:szCs w:val="20"/>
          <w:lang w:val="it-IT"/>
        </w:rPr>
        <w:t xml:space="preserve"> </w:t>
      </w:r>
      <w:r w:rsidR="00DC30A5">
        <w:rPr>
          <w:rFonts w:ascii="Arial" w:hAnsi="Arial" w:cs="Arial"/>
          <w:i/>
          <w:iCs/>
          <w:color w:val="000000"/>
          <w:sz w:val="20"/>
          <w:szCs w:val="20"/>
          <w:lang w:val="it-IT"/>
        </w:rPr>
        <w:t>contraenti</w:t>
      </w:r>
      <w:r w:rsidR="008A0967">
        <w:rPr>
          <w:rFonts w:ascii="Arial" w:hAnsi="Arial" w:cs="Arial"/>
          <w:i/>
          <w:iCs/>
          <w:color w:val="000000"/>
          <w:sz w:val="20"/>
          <w:szCs w:val="20"/>
          <w:lang w:val="it-IT"/>
        </w:rPr>
        <w:t xml:space="preserve"> in perimetro per il trasferimento</w:t>
      </w:r>
      <w:r w:rsidRPr="00656794">
        <w:rPr>
          <w:rFonts w:ascii="Arial" w:hAnsi="Arial" w:cs="Arial"/>
          <w:i/>
          <w:iCs/>
          <w:color w:val="000000"/>
          <w:sz w:val="20"/>
          <w:szCs w:val="20"/>
          <w:lang w:val="it-IT"/>
        </w:rPr>
        <w:t xml:space="preserve"> prima della </w:t>
      </w:r>
      <w:r w:rsidR="00DB4C55">
        <w:rPr>
          <w:rFonts w:ascii="Arial" w:hAnsi="Arial" w:cs="Arial"/>
          <w:i/>
          <w:iCs/>
          <w:color w:val="000000"/>
          <w:sz w:val="20"/>
          <w:szCs w:val="20"/>
          <w:lang w:val="it-IT"/>
        </w:rPr>
        <w:t>Data di trasferimento effettiva</w:t>
      </w:r>
      <w:r w:rsidRPr="00656794">
        <w:rPr>
          <w:rFonts w:ascii="Arial" w:hAnsi="Arial" w:cs="Arial"/>
          <w:i/>
          <w:iCs/>
          <w:color w:val="000000"/>
          <w:sz w:val="20"/>
          <w:szCs w:val="20"/>
          <w:lang w:val="it-IT"/>
        </w:rPr>
        <w:t>.</w:t>
      </w:r>
    </w:p>
    <w:p w14:paraId="0CEFC879" w14:textId="03C0D271" w:rsidR="003829D9" w:rsidRPr="00656794" w:rsidRDefault="002F2BD3" w:rsidP="003829D9">
      <w:pPr>
        <w:pStyle w:val="NormalWeb"/>
        <w:numPr>
          <w:ilvl w:val="0"/>
          <w:numId w:val="26"/>
        </w:numPr>
        <w:ind w:right="102"/>
        <w:jc w:val="both"/>
        <w:rPr>
          <w:rFonts w:ascii="Arial" w:hAnsi="Arial" w:cs="Arial"/>
          <w:color w:val="000000"/>
          <w:sz w:val="20"/>
          <w:szCs w:val="20"/>
          <w:lang w:val="it-IT"/>
        </w:rPr>
      </w:pPr>
      <w:r w:rsidRPr="002F2BD3">
        <w:rPr>
          <w:rFonts w:ascii="Arial" w:hAnsi="Arial" w:cs="Arial"/>
          <w:i/>
          <w:iCs/>
          <w:color w:val="000000"/>
          <w:sz w:val="20"/>
          <w:szCs w:val="20"/>
          <w:lang w:val="it-IT"/>
        </w:rPr>
        <w:t xml:space="preserve">Ci sono altri 4 </w:t>
      </w:r>
      <w:r w:rsidR="00DC30A5">
        <w:rPr>
          <w:rFonts w:ascii="Arial" w:hAnsi="Arial" w:cs="Arial"/>
          <w:i/>
          <w:iCs/>
          <w:color w:val="000000"/>
          <w:sz w:val="20"/>
          <w:szCs w:val="20"/>
          <w:lang w:val="it-IT"/>
        </w:rPr>
        <w:t>contraenti</w:t>
      </w:r>
      <w:r w:rsidRPr="002F2BD3">
        <w:rPr>
          <w:rFonts w:ascii="Arial" w:hAnsi="Arial" w:cs="Arial"/>
          <w:i/>
          <w:iCs/>
          <w:color w:val="000000"/>
          <w:sz w:val="20"/>
          <w:szCs w:val="20"/>
          <w:lang w:val="it-IT"/>
        </w:rPr>
        <w:t xml:space="preserve"> all'interno dell'elemento della libertà di servizi del portafoglio con lo 0,04% delle attività in gestione della libertà di servizi investite in un fondo specifico Irish Equity dove non è possibile trovare un fondo alternativo simile</w:t>
      </w:r>
      <w:r w:rsidR="003829D9" w:rsidRPr="00656794">
        <w:rPr>
          <w:rFonts w:ascii="Arial" w:hAnsi="Arial" w:cs="Arial"/>
          <w:i/>
          <w:iCs/>
          <w:color w:val="000000"/>
          <w:sz w:val="20"/>
          <w:szCs w:val="20"/>
          <w:lang w:val="it-IT"/>
        </w:rPr>
        <w:t xml:space="preserve">. Per questi </w:t>
      </w:r>
      <w:r w:rsidR="00DC30A5">
        <w:rPr>
          <w:rFonts w:ascii="Arial" w:hAnsi="Arial" w:cs="Arial"/>
          <w:i/>
          <w:iCs/>
          <w:color w:val="000000"/>
          <w:sz w:val="20"/>
          <w:szCs w:val="20"/>
          <w:lang w:val="it-IT"/>
        </w:rPr>
        <w:t>contraenti</w:t>
      </w:r>
      <w:r w:rsidR="003829D9" w:rsidRPr="00656794">
        <w:rPr>
          <w:rFonts w:ascii="Arial" w:hAnsi="Arial" w:cs="Arial"/>
          <w:i/>
          <w:iCs/>
          <w:color w:val="000000"/>
          <w:sz w:val="20"/>
          <w:szCs w:val="20"/>
          <w:lang w:val="it-IT"/>
        </w:rPr>
        <w:t xml:space="preserve"> saranno offerte opzioni di fondi alternativi prima della </w:t>
      </w:r>
      <w:r w:rsidR="00DB4C55">
        <w:rPr>
          <w:rFonts w:ascii="Arial" w:hAnsi="Arial" w:cs="Arial"/>
          <w:i/>
          <w:iCs/>
          <w:color w:val="000000"/>
          <w:sz w:val="20"/>
          <w:szCs w:val="20"/>
          <w:lang w:val="it-IT"/>
        </w:rPr>
        <w:t>data di trasferimento effettiva</w:t>
      </w:r>
      <w:r w:rsidR="003829D9" w:rsidRPr="00656794">
        <w:rPr>
          <w:rFonts w:ascii="Arial" w:hAnsi="Arial" w:cs="Arial"/>
          <w:color w:val="000000"/>
          <w:sz w:val="20"/>
          <w:szCs w:val="20"/>
          <w:lang w:val="it-IT"/>
        </w:rPr>
        <w:t>.</w:t>
      </w:r>
      <w:r w:rsidR="009F383F" w:rsidRPr="00656794">
        <w:rPr>
          <w:rFonts w:ascii="Arial" w:hAnsi="Arial" w:cs="Arial"/>
          <w:color w:val="000000"/>
          <w:sz w:val="20"/>
          <w:szCs w:val="20"/>
          <w:lang w:val="it-IT"/>
        </w:rPr>
        <w:t xml:space="preserve"> </w:t>
      </w:r>
      <w:r w:rsidR="003829D9" w:rsidRPr="00656794">
        <w:rPr>
          <w:rFonts w:ascii="Arial" w:hAnsi="Arial" w:cs="Arial"/>
          <w:i/>
          <w:iCs/>
          <w:color w:val="000000"/>
          <w:sz w:val="20"/>
          <w:szCs w:val="20"/>
          <w:lang w:val="it-IT"/>
        </w:rPr>
        <w:t xml:space="preserve">Pertanto, per tutti </w:t>
      </w:r>
      <w:r w:rsidR="00236DFA">
        <w:rPr>
          <w:rFonts w:ascii="Arial" w:hAnsi="Arial" w:cs="Arial"/>
          <w:i/>
          <w:iCs/>
          <w:color w:val="000000"/>
          <w:sz w:val="20"/>
          <w:szCs w:val="20"/>
          <w:lang w:val="it-IT"/>
        </w:rPr>
        <w:t>i</w:t>
      </w:r>
      <w:r w:rsidR="00236DFA" w:rsidRPr="00656794">
        <w:rPr>
          <w:rFonts w:ascii="Arial" w:hAnsi="Arial" w:cs="Arial"/>
          <w:i/>
          <w:iCs/>
          <w:color w:val="000000"/>
          <w:sz w:val="20"/>
          <w:szCs w:val="20"/>
          <w:lang w:val="it-IT"/>
        </w:rPr>
        <w:t xml:space="preserve"> </w:t>
      </w:r>
      <w:r w:rsidR="00DC30A5">
        <w:rPr>
          <w:rFonts w:ascii="Arial" w:hAnsi="Arial" w:cs="Arial"/>
          <w:i/>
          <w:iCs/>
          <w:color w:val="000000"/>
          <w:sz w:val="20"/>
          <w:szCs w:val="20"/>
          <w:lang w:val="it-IT"/>
        </w:rPr>
        <w:t>contraenti</w:t>
      </w:r>
      <w:r w:rsidR="003829D9" w:rsidRPr="00656794">
        <w:rPr>
          <w:rFonts w:ascii="Arial" w:hAnsi="Arial" w:cs="Arial"/>
          <w:i/>
          <w:iCs/>
          <w:color w:val="000000"/>
          <w:sz w:val="20"/>
          <w:szCs w:val="20"/>
          <w:lang w:val="it-IT"/>
        </w:rPr>
        <w:t xml:space="preserve"> </w:t>
      </w:r>
      <w:r w:rsidR="008A525A" w:rsidRPr="00656794">
        <w:rPr>
          <w:rFonts w:ascii="Arial" w:hAnsi="Arial" w:cs="Arial"/>
          <w:i/>
          <w:iCs/>
          <w:color w:val="000000"/>
          <w:sz w:val="20"/>
          <w:szCs w:val="20"/>
          <w:lang w:val="it-IT"/>
        </w:rPr>
        <w:t>unit-linked</w:t>
      </w:r>
      <w:r w:rsidR="003829D9" w:rsidRPr="00656794">
        <w:rPr>
          <w:rFonts w:ascii="Arial" w:hAnsi="Arial" w:cs="Arial"/>
          <w:i/>
          <w:iCs/>
          <w:color w:val="000000"/>
          <w:sz w:val="20"/>
          <w:szCs w:val="20"/>
          <w:lang w:val="it-IT"/>
        </w:rPr>
        <w:t xml:space="preserve"> italiani, verranno attivate opzioni di fondi adeguate prima del trasferimento. Pertanto, non nutro alcuna preoccupazione in merito alle scelte dei fondi e agli impatti associati nell</w:t>
      </w:r>
      <w:r w:rsidR="00F23A40" w:rsidRPr="00656794">
        <w:rPr>
          <w:rFonts w:ascii="Arial" w:hAnsi="Arial" w:cs="Arial"/>
          <w:i/>
          <w:iCs/>
          <w:color w:val="000000"/>
          <w:sz w:val="20"/>
          <w:szCs w:val="20"/>
          <w:lang w:val="it-IT"/>
        </w:rPr>
        <w:t>’</w:t>
      </w:r>
      <w:r w:rsidR="003829D9" w:rsidRPr="00656794">
        <w:rPr>
          <w:rFonts w:ascii="Arial" w:hAnsi="Arial" w:cs="Arial"/>
          <w:i/>
          <w:iCs/>
          <w:color w:val="000000"/>
          <w:sz w:val="20"/>
          <w:szCs w:val="20"/>
          <w:lang w:val="it-IT"/>
        </w:rPr>
        <w:t>ambito del</w:t>
      </w:r>
      <w:r w:rsidR="00F470FD">
        <w:rPr>
          <w:rFonts w:ascii="Arial" w:hAnsi="Arial" w:cs="Arial"/>
          <w:i/>
          <w:iCs/>
          <w:color w:val="000000"/>
          <w:sz w:val="20"/>
          <w:szCs w:val="20"/>
          <w:lang w:val="it-IT"/>
        </w:rPr>
        <w:t>l’</w:t>
      </w:r>
      <w:r w:rsidR="00AE4256">
        <w:rPr>
          <w:rFonts w:ascii="Arial" w:hAnsi="Arial" w:cs="Arial"/>
          <w:i/>
          <w:iCs/>
          <w:color w:val="000000"/>
          <w:sz w:val="20"/>
          <w:szCs w:val="20"/>
          <w:lang w:val="it-IT"/>
        </w:rPr>
        <w:t>Atto di Trasferimento</w:t>
      </w:r>
      <w:r w:rsidR="003829D9" w:rsidRPr="00656794">
        <w:rPr>
          <w:rFonts w:ascii="Arial" w:hAnsi="Arial" w:cs="Arial"/>
          <w:i/>
          <w:iCs/>
          <w:color w:val="000000"/>
          <w:sz w:val="20"/>
          <w:szCs w:val="20"/>
          <w:lang w:val="it-IT"/>
        </w:rPr>
        <w:t>.</w:t>
      </w:r>
    </w:p>
    <w:p w14:paraId="65EA8633" w14:textId="583453A2"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È in essere una riassicurazione su un numero limitato di polizze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 portafoglio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italiano. Per meno di 100 polizze che hanno un rider di protezione,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indennità di protezione è retrocessa del 50% a ZIC (società madre).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accordo riassicurativo esistente sarà annullato. Questo è stato preso in considerazione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analisi della solidità finanziaria intrapresa.</w:t>
      </w:r>
    </w:p>
    <w:p w14:paraId="712B2DDD" w14:textId="4C80634A"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i/>
          <w:iCs/>
          <w:color w:val="000000"/>
          <w:sz w:val="20"/>
          <w:szCs w:val="20"/>
          <w:lang w:val="it-IT"/>
        </w:rPr>
        <w:t>Questa non è un</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esposizione materiale, ovvero un premio di riassicurazione annuo compreso tra € 10.000 e € 15.000. Se 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accordo di riassicurazione fosse implementato come parte del</w:t>
      </w:r>
      <w:r w:rsidR="00F470FD">
        <w:rPr>
          <w:rFonts w:ascii="Arial" w:hAnsi="Arial" w:cs="Arial"/>
          <w:i/>
          <w:iCs/>
          <w:color w:val="000000"/>
          <w:sz w:val="20"/>
          <w:szCs w:val="20"/>
          <w:lang w:val="it-IT"/>
        </w:rPr>
        <w:t>l’</w:t>
      </w:r>
      <w:r w:rsidR="00AE4256">
        <w:rPr>
          <w:rFonts w:ascii="Arial" w:hAnsi="Arial" w:cs="Arial"/>
          <w:i/>
          <w:iCs/>
          <w:color w:val="000000"/>
          <w:sz w:val="20"/>
          <w:szCs w:val="20"/>
          <w:lang w:val="it-IT"/>
        </w:rPr>
        <w:t>Atto di Trasferimento</w:t>
      </w:r>
      <w:r w:rsidRPr="00656794">
        <w:rPr>
          <w:rFonts w:ascii="Arial" w:hAnsi="Arial" w:cs="Arial"/>
          <w:i/>
          <w:iCs/>
          <w:color w:val="000000"/>
          <w:sz w:val="20"/>
          <w:szCs w:val="20"/>
          <w:lang w:val="it-IT"/>
        </w:rPr>
        <w:t>, non mi aspetto che ciò abbia un impatto significativo sul profilo di rischio di ZIL o sui suoi requisiti patrimoniali</w:t>
      </w:r>
      <w:r w:rsidRPr="00656794">
        <w:rPr>
          <w:rFonts w:ascii="Arial" w:hAnsi="Arial" w:cs="Arial"/>
          <w:color w:val="000000"/>
          <w:sz w:val="20"/>
          <w:szCs w:val="20"/>
          <w:lang w:val="it-IT"/>
        </w:rPr>
        <w:t>.</w:t>
      </w:r>
    </w:p>
    <w:p w14:paraId="208B613C" w14:textId="746DDB0E"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Alla </w:t>
      </w:r>
      <w:r w:rsidR="00DB4C55">
        <w:rPr>
          <w:rFonts w:ascii="Arial" w:hAnsi="Arial" w:cs="Arial"/>
          <w:color w:val="000000"/>
          <w:sz w:val="20"/>
          <w:szCs w:val="20"/>
          <w:lang w:val="it-IT"/>
        </w:rPr>
        <w:t>Data di trasferimento effettiva</w:t>
      </w:r>
      <w:r w:rsidRPr="00656794">
        <w:rPr>
          <w:rFonts w:ascii="Arial" w:hAnsi="Arial" w:cs="Arial"/>
          <w:color w:val="000000"/>
          <w:sz w:val="20"/>
          <w:szCs w:val="20"/>
          <w:lang w:val="it-IT"/>
        </w:rPr>
        <w:t xml:space="preserve">, è previsto che il fornitore di amministrazione </w:t>
      </w:r>
      <w:r w:rsidR="002F2BD3">
        <w:rPr>
          <w:rFonts w:ascii="Arial" w:hAnsi="Arial" w:cs="Arial"/>
          <w:color w:val="000000"/>
          <w:sz w:val="20"/>
          <w:szCs w:val="20"/>
          <w:lang w:val="it-IT"/>
        </w:rPr>
        <w:t xml:space="preserve">del portafoglio attualmente </w:t>
      </w:r>
      <w:r w:rsidRPr="00656794">
        <w:rPr>
          <w:rFonts w:ascii="Arial" w:hAnsi="Arial" w:cs="Arial"/>
          <w:color w:val="000000"/>
          <w:sz w:val="20"/>
          <w:szCs w:val="20"/>
          <w:lang w:val="it-IT"/>
        </w:rPr>
        <w:t xml:space="preserve">esistente Capita sarà sostituito da un fornitore di amministrazione alternativo, Previnet, che è un affermato fornitore di servizi in outsourcing a livello europeo. È stato istituito un gruppo di progetto che include rappresentanti di ZLAP, ZIL e Previnet per garantire la </w:t>
      </w:r>
      <w:r w:rsidR="002F2BD3">
        <w:rPr>
          <w:rFonts w:ascii="Arial" w:hAnsi="Arial" w:cs="Arial"/>
          <w:color w:val="000000"/>
          <w:sz w:val="20"/>
          <w:szCs w:val="20"/>
          <w:lang w:val="it-IT"/>
        </w:rPr>
        <w:t xml:space="preserve">corretta </w:t>
      </w:r>
      <w:r w:rsidRPr="00656794">
        <w:rPr>
          <w:rFonts w:ascii="Arial" w:hAnsi="Arial" w:cs="Arial"/>
          <w:color w:val="000000"/>
          <w:sz w:val="20"/>
          <w:szCs w:val="20"/>
          <w:lang w:val="it-IT"/>
        </w:rPr>
        <w:t>transizion</w:t>
      </w:r>
      <w:r w:rsidR="002F2BD3">
        <w:rPr>
          <w:rFonts w:ascii="Arial" w:hAnsi="Arial" w:cs="Arial"/>
          <w:color w:val="000000"/>
          <w:sz w:val="20"/>
          <w:szCs w:val="20"/>
          <w:lang w:val="it-IT"/>
        </w:rPr>
        <w:t>e</w:t>
      </w:r>
      <w:r w:rsidRPr="00656794">
        <w:rPr>
          <w:rFonts w:ascii="Arial" w:hAnsi="Arial" w:cs="Arial"/>
          <w:color w:val="000000"/>
          <w:sz w:val="20"/>
          <w:szCs w:val="20"/>
          <w:lang w:val="it-IT"/>
        </w:rPr>
        <w:t xml:space="preserve"> delle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Il completamento del progetto in linea con il calendario del</w:t>
      </w:r>
      <w:r w:rsidR="002F2BD3">
        <w:rPr>
          <w:rFonts w:ascii="Arial" w:hAnsi="Arial" w:cs="Arial"/>
          <w:color w:val="000000"/>
          <w:sz w:val="20"/>
          <w:szCs w:val="20"/>
          <w:lang w:val="it-IT"/>
        </w:rPr>
        <w:t>l’</w:t>
      </w:r>
      <w:r w:rsidR="00A82666">
        <w:rPr>
          <w:rFonts w:ascii="Arial" w:hAnsi="Arial" w:cs="Arial"/>
          <w:color w:val="000000"/>
          <w:sz w:val="20"/>
          <w:szCs w:val="20"/>
          <w:lang w:val="it-IT"/>
        </w:rPr>
        <w:t>Atto di Trasferimento</w:t>
      </w:r>
      <w:r w:rsidR="002F2BD3"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è la chiave per consentire il </w:t>
      </w:r>
      <w:r w:rsidR="002F2BD3">
        <w:rPr>
          <w:rFonts w:ascii="Arial" w:hAnsi="Arial" w:cs="Arial"/>
          <w:color w:val="000000"/>
          <w:sz w:val="20"/>
          <w:szCs w:val="20"/>
          <w:lang w:val="it-IT"/>
        </w:rPr>
        <w:t xml:space="preserve">corretto </w:t>
      </w:r>
      <w:r w:rsidRPr="00656794">
        <w:rPr>
          <w:rFonts w:ascii="Arial" w:hAnsi="Arial" w:cs="Arial"/>
          <w:color w:val="000000"/>
          <w:sz w:val="20"/>
          <w:szCs w:val="20"/>
          <w:lang w:val="it-IT"/>
        </w:rPr>
        <w:t xml:space="preserve">trasferimento del portafoglio. Sono </w:t>
      </w:r>
      <w:r w:rsidR="002F2BD3">
        <w:rPr>
          <w:rFonts w:ascii="Arial" w:hAnsi="Arial" w:cs="Arial"/>
          <w:color w:val="000000"/>
          <w:sz w:val="20"/>
          <w:szCs w:val="20"/>
          <w:lang w:val="it-IT"/>
        </w:rPr>
        <w:t xml:space="preserve">inoltre </w:t>
      </w:r>
      <w:r w:rsidR="00AC1C4B">
        <w:rPr>
          <w:rFonts w:ascii="Arial" w:hAnsi="Arial" w:cs="Arial"/>
          <w:color w:val="000000"/>
          <w:sz w:val="20"/>
          <w:szCs w:val="20"/>
          <w:lang w:val="it-IT"/>
        </w:rPr>
        <w:t>già cominci</w:t>
      </w:r>
      <w:r w:rsidRPr="00656794">
        <w:rPr>
          <w:rFonts w:ascii="Arial" w:hAnsi="Arial" w:cs="Arial"/>
          <w:color w:val="000000"/>
          <w:sz w:val="20"/>
          <w:szCs w:val="20"/>
          <w:lang w:val="it-IT"/>
        </w:rPr>
        <w:t>ati i lavori per la migrazione</w:t>
      </w:r>
      <w:r w:rsidR="00AC1C4B">
        <w:rPr>
          <w:rFonts w:ascii="Arial" w:hAnsi="Arial" w:cs="Arial"/>
          <w:color w:val="000000"/>
          <w:sz w:val="20"/>
          <w:szCs w:val="20"/>
          <w:lang w:val="it-IT"/>
        </w:rPr>
        <w:t xml:space="preserve"> polizze</w:t>
      </w:r>
      <w:r w:rsidRPr="00656794">
        <w:rPr>
          <w:rFonts w:ascii="Arial" w:hAnsi="Arial" w:cs="Arial"/>
          <w:color w:val="000000"/>
          <w:sz w:val="20"/>
          <w:szCs w:val="20"/>
          <w:lang w:val="it-IT"/>
        </w:rPr>
        <w:t xml:space="preserve"> e, in base al calendario, si prevede che dureranno fino ad aprile 2022. Il </w:t>
      </w:r>
      <w:r w:rsidR="00491F7E">
        <w:rPr>
          <w:rFonts w:ascii="Arial" w:hAnsi="Arial" w:cs="Arial"/>
          <w:color w:val="000000"/>
          <w:sz w:val="20"/>
          <w:szCs w:val="20"/>
          <w:lang w:val="it-IT"/>
        </w:rPr>
        <w:t>piano progettuale</w:t>
      </w:r>
      <w:r w:rsidRPr="00656794">
        <w:rPr>
          <w:rFonts w:ascii="Arial" w:hAnsi="Arial" w:cs="Arial"/>
          <w:color w:val="000000"/>
          <w:sz w:val="20"/>
          <w:szCs w:val="20"/>
          <w:lang w:val="it-IT"/>
        </w:rPr>
        <w:t xml:space="preserve"> è stato oggetto di revisione e </w:t>
      </w:r>
      <w:r w:rsidR="00491F7E">
        <w:rPr>
          <w:rFonts w:ascii="Arial" w:hAnsi="Arial" w:cs="Arial"/>
          <w:color w:val="000000"/>
          <w:sz w:val="20"/>
          <w:szCs w:val="20"/>
          <w:lang w:val="it-IT"/>
        </w:rPr>
        <w:t>discuss</w:t>
      </w:r>
      <w:r w:rsidRPr="00656794">
        <w:rPr>
          <w:rFonts w:ascii="Arial" w:hAnsi="Arial" w:cs="Arial"/>
          <w:color w:val="000000"/>
          <w:sz w:val="20"/>
          <w:szCs w:val="20"/>
          <w:lang w:val="it-IT"/>
        </w:rPr>
        <w:t>ione da parte del</w:t>
      </w:r>
      <w:r w:rsidR="00491F7E">
        <w:rPr>
          <w:rFonts w:ascii="Arial" w:hAnsi="Arial" w:cs="Arial"/>
          <w:color w:val="000000"/>
          <w:sz w:val="20"/>
          <w:szCs w:val="20"/>
          <w:lang w:val="it-IT"/>
        </w:rPr>
        <w:t xml:space="preserve"> management</w:t>
      </w:r>
      <w:r w:rsidRPr="00656794">
        <w:rPr>
          <w:rFonts w:ascii="Arial" w:hAnsi="Arial" w:cs="Arial"/>
          <w:color w:val="000000"/>
          <w:sz w:val="20"/>
          <w:szCs w:val="20"/>
          <w:lang w:val="it-IT"/>
        </w:rPr>
        <w:t xml:space="preserve"> di ZLAP e ZIL.</w:t>
      </w:r>
    </w:p>
    <w:p w14:paraId="1E1E0EA5" w14:textId="17BE2AAF"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i/>
          <w:iCs/>
          <w:color w:val="000000"/>
          <w:sz w:val="20"/>
          <w:szCs w:val="20"/>
          <w:lang w:val="it-IT"/>
        </w:rPr>
        <w:t xml:space="preserve">In linea con il </w:t>
      </w:r>
      <w:r w:rsidR="007C28E7">
        <w:rPr>
          <w:rFonts w:ascii="Arial" w:hAnsi="Arial" w:cs="Arial"/>
          <w:i/>
          <w:iCs/>
          <w:color w:val="000000"/>
          <w:sz w:val="20"/>
          <w:szCs w:val="20"/>
          <w:lang w:val="it-IT"/>
        </w:rPr>
        <w:t>Contratto di vendita aziendale</w:t>
      </w:r>
      <w:r w:rsidRPr="00656794">
        <w:rPr>
          <w:rFonts w:ascii="Arial" w:hAnsi="Arial" w:cs="Arial"/>
          <w:i/>
          <w:iCs/>
          <w:color w:val="000000"/>
          <w:sz w:val="20"/>
          <w:szCs w:val="20"/>
          <w:lang w:val="it-IT"/>
        </w:rPr>
        <w:t xml:space="preserve">, il trasferimento del portafoglio avverrà quando la migrazione informatica sarà stata completata per garantire una transizione senza soluzione di continuità in termini di servizi amministrativi per </w:t>
      </w:r>
      <w:r w:rsidR="00236DFA">
        <w:rPr>
          <w:rFonts w:ascii="Arial" w:hAnsi="Arial" w:cs="Arial"/>
          <w:i/>
          <w:iCs/>
          <w:color w:val="000000"/>
          <w:sz w:val="20"/>
          <w:szCs w:val="20"/>
          <w:lang w:val="it-IT"/>
        </w:rPr>
        <w:t>i</w:t>
      </w:r>
      <w:r w:rsidR="00236DFA" w:rsidRPr="00656794">
        <w:rPr>
          <w:rFonts w:ascii="Arial" w:hAnsi="Arial" w:cs="Arial"/>
          <w:i/>
          <w:iCs/>
          <w:color w:val="000000"/>
          <w:sz w:val="20"/>
          <w:szCs w:val="20"/>
          <w:lang w:val="it-IT"/>
        </w:rPr>
        <w:t xml:space="preserve"> </w:t>
      </w:r>
      <w:r w:rsidR="00DC30A5">
        <w:rPr>
          <w:rFonts w:ascii="Arial" w:hAnsi="Arial" w:cs="Arial"/>
          <w:i/>
          <w:iCs/>
          <w:color w:val="000000"/>
          <w:sz w:val="20"/>
          <w:szCs w:val="20"/>
          <w:lang w:val="it-IT"/>
        </w:rPr>
        <w:t>contraenti</w:t>
      </w:r>
      <w:r w:rsidRPr="00656794">
        <w:rPr>
          <w:rFonts w:ascii="Arial" w:hAnsi="Arial" w:cs="Arial"/>
          <w:i/>
          <w:iCs/>
          <w:color w:val="000000"/>
          <w:sz w:val="20"/>
          <w:szCs w:val="20"/>
          <w:lang w:val="it-IT"/>
        </w:rPr>
        <w:t xml:space="preserve"> </w:t>
      </w:r>
      <w:r w:rsidR="008A525A" w:rsidRPr="00656794">
        <w:rPr>
          <w:rFonts w:ascii="Arial" w:hAnsi="Arial" w:cs="Arial"/>
          <w:i/>
          <w:iCs/>
          <w:color w:val="000000"/>
          <w:sz w:val="20"/>
          <w:szCs w:val="20"/>
          <w:lang w:val="it-IT"/>
        </w:rPr>
        <w:t>unit-linked</w:t>
      </w:r>
      <w:r w:rsidRPr="00656794">
        <w:rPr>
          <w:rFonts w:ascii="Arial" w:hAnsi="Arial" w:cs="Arial"/>
          <w:i/>
          <w:iCs/>
          <w:color w:val="000000"/>
          <w:sz w:val="20"/>
          <w:szCs w:val="20"/>
          <w:lang w:val="it-IT"/>
        </w:rPr>
        <w:t xml:space="preserve"> italiani, senza alcun impatto sui servizi loro forniti prima, durante o dopo la </w:t>
      </w:r>
      <w:r w:rsidR="00DB4C55">
        <w:rPr>
          <w:rFonts w:ascii="Arial" w:hAnsi="Arial" w:cs="Arial"/>
          <w:i/>
          <w:iCs/>
          <w:color w:val="000000"/>
          <w:sz w:val="20"/>
          <w:szCs w:val="20"/>
          <w:lang w:val="it-IT"/>
        </w:rPr>
        <w:t>data di trasferimento effettiva</w:t>
      </w:r>
      <w:r w:rsidRPr="00656794">
        <w:rPr>
          <w:rFonts w:ascii="Arial" w:hAnsi="Arial" w:cs="Arial"/>
          <w:i/>
          <w:iCs/>
          <w:color w:val="000000"/>
          <w:sz w:val="20"/>
          <w:szCs w:val="20"/>
          <w:lang w:val="it-IT"/>
        </w:rPr>
        <w:t>. Continuerò a monitorare i progressi di questo progetto prima dell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udienza finale della Corte per garantire che la migrazione sia stata completata con successo</w:t>
      </w:r>
      <w:r w:rsidRPr="00656794">
        <w:rPr>
          <w:rFonts w:ascii="Arial" w:hAnsi="Arial" w:cs="Arial"/>
          <w:color w:val="000000"/>
          <w:sz w:val="20"/>
          <w:szCs w:val="20"/>
          <w:lang w:val="it-IT"/>
        </w:rPr>
        <w:t>.</w:t>
      </w:r>
    </w:p>
    <w:p w14:paraId="02248D3D" w14:textId="185B0DCF"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Un focus chiave è stato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ispezione antiriciclaggio svolta nel 2018 dall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interno della </w:t>
      </w:r>
      <w:r w:rsidR="005A3D91">
        <w:rPr>
          <w:rFonts w:ascii="Arial" w:hAnsi="Arial" w:cs="Arial"/>
          <w:color w:val="000000"/>
          <w:sz w:val="20"/>
          <w:szCs w:val="20"/>
          <w:lang w:val="it-IT"/>
        </w:rPr>
        <w:t>branch</w:t>
      </w:r>
      <w:r w:rsidRPr="00656794">
        <w:rPr>
          <w:rFonts w:ascii="Arial" w:hAnsi="Arial" w:cs="Arial"/>
          <w:color w:val="000000"/>
          <w:sz w:val="20"/>
          <w:szCs w:val="20"/>
          <w:lang w:val="it-IT"/>
        </w:rPr>
        <w:t xml:space="preserve"> ZLAP 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interno di ZIL.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ispezione si è concentrata sulla governance e sui processi in materia di antiriciclaggio.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ha individuato alcune aree di miglioramento dei processi e dei controlli in entrambe le entità.</w:t>
      </w:r>
    </w:p>
    <w:p w14:paraId="6CCD8641" w14:textId="36CC0651"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i/>
          <w:iCs/>
          <w:color w:val="000000"/>
          <w:sz w:val="20"/>
          <w:szCs w:val="20"/>
          <w:lang w:val="it-IT"/>
        </w:rPr>
        <w:t>In data 30 aprile 2021 è stata inviata all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IVASS una segnalazione in merito agli adempimenti antiriciclaggio delineati dall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 xml:space="preserve">IVASS. Comprendo che </w:t>
      </w:r>
      <w:r w:rsidR="005B7BBB" w:rsidRPr="00656794">
        <w:rPr>
          <w:rFonts w:ascii="Arial" w:hAnsi="Arial" w:cs="Arial"/>
          <w:i/>
          <w:iCs/>
          <w:color w:val="000000"/>
          <w:sz w:val="20"/>
          <w:szCs w:val="20"/>
          <w:lang w:val="it-IT"/>
        </w:rPr>
        <w:t>questa Relazione</w:t>
      </w:r>
      <w:r w:rsidRPr="00656794">
        <w:rPr>
          <w:rFonts w:ascii="Arial" w:hAnsi="Arial" w:cs="Arial"/>
          <w:i/>
          <w:iCs/>
          <w:color w:val="000000"/>
          <w:sz w:val="20"/>
          <w:szCs w:val="20"/>
          <w:lang w:val="it-IT"/>
        </w:rPr>
        <w:t xml:space="preserve"> risponde ai requisiti dell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IVASS. Presumo che non siano previste ulteriori aree di interesse normativo nei prossimi mesi che potrebbero influire o ritardare il trasferimento del portafoglio</w:t>
      </w:r>
      <w:r w:rsidRPr="00656794">
        <w:rPr>
          <w:rFonts w:ascii="Arial" w:hAnsi="Arial" w:cs="Arial"/>
          <w:color w:val="000000"/>
          <w:sz w:val="20"/>
          <w:szCs w:val="20"/>
          <w:lang w:val="it-IT"/>
        </w:rPr>
        <w:t>.</w:t>
      </w:r>
    </w:p>
    <w:p w14:paraId="24DA48F7" w14:textId="20022844" w:rsidR="003829D9" w:rsidRPr="00656794" w:rsidRDefault="003829D9" w:rsidP="009F383F">
      <w:pPr>
        <w:spacing w:before="281" w:after="0" w:line="240" w:lineRule="auto"/>
        <w:ind w:right="82"/>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 xml:space="preserve">7.6 </w:t>
      </w:r>
      <w:r w:rsidR="00780C01" w:rsidRPr="00656794">
        <w:rPr>
          <w:rFonts w:ascii="Arial" w:eastAsia="Times New Roman" w:hAnsi="Arial" w:cs="Arial"/>
          <w:b/>
          <w:bCs/>
          <w:color w:val="00338D"/>
          <w:sz w:val="28"/>
          <w:szCs w:val="28"/>
          <w:lang w:val="it-IT" w:eastAsia="en-IE"/>
        </w:rPr>
        <w:t>Conclusione sull</w:t>
      </w:r>
      <w:r w:rsidR="00F23A40" w:rsidRPr="00656794">
        <w:rPr>
          <w:rFonts w:ascii="Arial" w:eastAsia="Times New Roman" w:hAnsi="Arial" w:cs="Arial"/>
          <w:b/>
          <w:bCs/>
          <w:color w:val="00338D"/>
          <w:sz w:val="28"/>
          <w:szCs w:val="28"/>
          <w:lang w:val="it-IT" w:eastAsia="en-IE"/>
        </w:rPr>
        <w:t>’</w:t>
      </w:r>
      <w:r w:rsidR="00780C01" w:rsidRPr="00656794">
        <w:rPr>
          <w:rFonts w:ascii="Arial" w:eastAsia="Times New Roman" w:hAnsi="Arial" w:cs="Arial"/>
          <w:b/>
          <w:bCs/>
          <w:color w:val="00338D"/>
          <w:sz w:val="28"/>
          <w:szCs w:val="28"/>
          <w:lang w:val="it-IT" w:eastAsia="en-IE"/>
        </w:rPr>
        <w:t>impatto del</w:t>
      </w:r>
      <w:r w:rsidR="00F470FD">
        <w:rPr>
          <w:rFonts w:ascii="Arial" w:eastAsia="Times New Roman" w:hAnsi="Arial" w:cs="Arial"/>
          <w:b/>
          <w:bCs/>
          <w:color w:val="00338D"/>
          <w:sz w:val="28"/>
          <w:szCs w:val="28"/>
          <w:lang w:val="it-IT" w:eastAsia="en-IE"/>
        </w:rPr>
        <w:t>l’</w:t>
      </w:r>
      <w:r w:rsidR="00AE4256">
        <w:rPr>
          <w:rFonts w:ascii="Arial" w:eastAsia="Times New Roman" w:hAnsi="Arial" w:cs="Arial"/>
          <w:b/>
          <w:bCs/>
          <w:color w:val="00338D"/>
          <w:sz w:val="28"/>
          <w:szCs w:val="28"/>
          <w:lang w:val="it-IT" w:eastAsia="en-IE"/>
        </w:rPr>
        <w:t>Atto di Trasferimento</w:t>
      </w:r>
      <w:r w:rsidR="00780C01" w:rsidRPr="00656794">
        <w:rPr>
          <w:rFonts w:ascii="Arial" w:eastAsia="Times New Roman" w:hAnsi="Arial" w:cs="Arial"/>
          <w:b/>
          <w:bCs/>
          <w:color w:val="00338D"/>
          <w:sz w:val="28"/>
          <w:szCs w:val="28"/>
          <w:lang w:val="it-IT" w:eastAsia="en-IE"/>
        </w:rPr>
        <w:t xml:space="preserve"> sulla sicurezza delle polizze</w:t>
      </w:r>
    </w:p>
    <w:p w14:paraId="652DE546" w14:textId="420BF45F" w:rsidR="003829D9" w:rsidRPr="00656794" w:rsidRDefault="003829D9" w:rsidP="00780C01">
      <w:pPr>
        <w:spacing w:before="150" w:after="0" w:line="240" w:lineRule="auto"/>
        <w:ind w:right="386"/>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4"/>
          <w:szCs w:val="24"/>
          <w:lang w:val="it-IT" w:eastAsia="en-IE"/>
        </w:rPr>
        <w:t xml:space="preserve">7.6.1 </w:t>
      </w:r>
      <w:r w:rsidR="00780C01" w:rsidRPr="00656794">
        <w:rPr>
          <w:rFonts w:ascii="Arial" w:eastAsia="Times New Roman" w:hAnsi="Arial" w:cs="Arial"/>
          <w:color w:val="00338D"/>
          <w:sz w:val="24"/>
          <w:szCs w:val="24"/>
          <w:lang w:val="it-IT" w:eastAsia="en-IE"/>
        </w:rPr>
        <w:t>Conclusione sull</w:t>
      </w:r>
      <w:r w:rsidR="00F23A40" w:rsidRPr="00656794">
        <w:rPr>
          <w:rFonts w:ascii="Arial" w:eastAsia="Times New Roman" w:hAnsi="Arial" w:cs="Arial"/>
          <w:color w:val="00338D"/>
          <w:sz w:val="24"/>
          <w:szCs w:val="24"/>
          <w:lang w:val="it-IT" w:eastAsia="en-IE"/>
        </w:rPr>
        <w:t>’</w:t>
      </w:r>
      <w:r w:rsidR="00780C01" w:rsidRPr="00656794">
        <w:rPr>
          <w:rFonts w:ascii="Arial" w:eastAsia="Times New Roman" w:hAnsi="Arial" w:cs="Arial"/>
          <w:color w:val="00338D"/>
          <w:sz w:val="24"/>
          <w:szCs w:val="24"/>
          <w:lang w:val="it-IT" w:eastAsia="en-IE"/>
        </w:rPr>
        <w:t>impatto del</w:t>
      </w:r>
      <w:r w:rsidR="00F470FD">
        <w:rPr>
          <w:rFonts w:ascii="Arial" w:eastAsia="Times New Roman" w:hAnsi="Arial" w:cs="Arial"/>
          <w:color w:val="00338D"/>
          <w:sz w:val="24"/>
          <w:szCs w:val="24"/>
          <w:lang w:val="it-IT" w:eastAsia="en-IE"/>
        </w:rPr>
        <w:t>l’</w:t>
      </w:r>
      <w:r w:rsidR="00AE4256">
        <w:rPr>
          <w:rFonts w:ascii="Arial" w:eastAsia="Times New Roman" w:hAnsi="Arial" w:cs="Arial"/>
          <w:color w:val="00338D"/>
          <w:sz w:val="24"/>
          <w:szCs w:val="24"/>
          <w:lang w:val="it-IT" w:eastAsia="en-IE"/>
        </w:rPr>
        <w:t>Atto di Trasferimento</w:t>
      </w:r>
      <w:r w:rsidR="00780C01" w:rsidRPr="00656794">
        <w:rPr>
          <w:rFonts w:ascii="Arial" w:eastAsia="Times New Roman" w:hAnsi="Arial" w:cs="Arial"/>
          <w:color w:val="00338D"/>
          <w:sz w:val="24"/>
          <w:szCs w:val="24"/>
          <w:lang w:val="it-IT" w:eastAsia="en-IE"/>
        </w:rPr>
        <w:t xml:space="preserve"> sulla sicurezza </w:t>
      </w:r>
      <w:r w:rsidR="00236DFA">
        <w:rPr>
          <w:rFonts w:ascii="Arial" w:eastAsia="Times New Roman" w:hAnsi="Arial" w:cs="Arial"/>
          <w:color w:val="00338D"/>
          <w:sz w:val="24"/>
          <w:szCs w:val="24"/>
          <w:lang w:val="it-IT" w:eastAsia="en-IE"/>
        </w:rPr>
        <w:t>dei</w:t>
      </w:r>
      <w:r w:rsidR="00236DFA" w:rsidRPr="00656794">
        <w:rPr>
          <w:rFonts w:ascii="Arial" w:eastAsia="Times New Roman" w:hAnsi="Arial" w:cs="Arial"/>
          <w:color w:val="00338D"/>
          <w:sz w:val="24"/>
          <w:szCs w:val="24"/>
          <w:lang w:val="it-IT" w:eastAsia="en-IE"/>
        </w:rPr>
        <w:t xml:space="preserve"> </w:t>
      </w:r>
      <w:r w:rsidR="00DC30A5">
        <w:rPr>
          <w:rFonts w:ascii="Arial" w:eastAsia="Times New Roman" w:hAnsi="Arial" w:cs="Arial"/>
          <w:color w:val="00338D"/>
          <w:sz w:val="24"/>
          <w:szCs w:val="24"/>
          <w:lang w:val="it-IT" w:eastAsia="en-IE"/>
        </w:rPr>
        <w:t>contraenti</w:t>
      </w:r>
      <w:r w:rsidR="00780C01" w:rsidRPr="00656794">
        <w:rPr>
          <w:rFonts w:ascii="Arial" w:eastAsia="Times New Roman" w:hAnsi="Arial" w:cs="Arial"/>
          <w:color w:val="00338D"/>
          <w:sz w:val="24"/>
          <w:szCs w:val="24"/>
          <w:lang w:val="it-IT" w:eastAsia="en-IE"/>
        </w:rPr>
        <w:t xml:space="preserve"> unit-linked italiani ZLAP cedenti</w:t>
      </w:r>
    </w:p>
    <w:p w14:paraId="1875F349" w14:textId="527D4E24"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 questa sezione ho considerato gli aspetti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che ritengo possano avere un potenziale impatto sulla sicurezza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ZLAP italiani in trasferimento. Le aree chiave sono:</w:t>
      </w:r>
    </w:p>
    <w:p w14:paraId="0002E801"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Requisiti del regime normativo</w:t>
      </w:r>
    </w:p>
    <w:p w14:paraId="0A8B0F7C"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Risorse di capitale disponibili</w:t>
      </w:r>
    </w:p>
    <w:p w14:paraId="13DDC677"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Profilo di rischio</w:t>
      </w:r>
    </w:p>
    <w:p w14:paraId="3E13904E"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Profilo del capitale</w:t>
      </w:r>
    </w:p>
    <w:p w14:paraId="0F93CF3D"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Piani di mitigazione del rischio e del capitale.</w:t>
      </w:r>
    </w:p>
    <w:p w14:paraId="348214E7" w14:textId="38C911B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xml:space="preserve">Sulla base della mia considerazione di questi elementi chiave, a mio avviso il rischio che i benefici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ZLAP italiani vengano influenzati negativamente in termini di sicurezza finanziaria è remoto. Pertanto, a mio avviso,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ZLAP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w:t>
      </w:r>
      <w:r w:rsidR="00DE793E">
        <w:rPr>
          <w:rFonts w:ascii="Arial" w:hAnsi="Arial" w:cs="Arial"/>
          <w:color w:val="000000"/>
          <w:sz w:val="20"/>
          <w:szCs w:val="20"/>
          <w:lang w:val="it-IT"/>
        </w:rPr>
        <w:t xml:space="preserve">italiani </w:t>
      </w:r>
      <w:r w:rsidRPr="00656794">
        <w:rPr>
          <w:rFonts w:ascii="Arial" w:hAnsi="Arial" w:cs="Arial"/>
          <w:color w:val="000000"/>
          <w:sz w:val="20"/>
          <w:szCs w:val="20"/>
          <w:lang w:val="it-IT"/>
        </w:rPr>
        <w:t>non saranno materialmente influenzati negativamente dal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proposto.</w:t>
      </w:r>
    </w:p>
    <w:p w14:paraId="7D68AF2A" w14:textId="26411ECD"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7.6.2 Conclusione sull</w:t>
      </w:r>
      <w:r w:rsidR="00F23A40" w:rsidRPr="00656794">
        <w:rPr>
          <w:rFonts w:ascii="Arial" w:hAnsi="Arial" w:cs="Arial"/>
          <w:color w:val="00338D"/>
          <w:lang w:val="it-IT"/>
        </w:rPr>
        <w:t>’</w:t>
      </w:r>
      <w:r w:rsidRPr="00656794">
        <w:rPr>
          <w:rFonts w:ascii="Arial" w:hAnsi="Arial" w:cs="Arial"/>
          <w:color w:val="00338D"/>
          <w:lang w:val="it-IT"/>
        </w:rPr>
        <w:t>impatto del</w:t>
      </w:r>
      <w:r w:rsidR="00F470FD">
        <w:rPr>
          <w:rFonts w:ascii="Arial" w:hAnsi="Arial" w:cs="Arial"/>
          <w:color w:val="00338D"/>
          <w:lang w:val="it-IT"/>
        </w:rPr>
        <w:t>l’</w:t>
      </w:r>
      <w:r w:rsidR="00AE4256">
        <w:rPr>
          <w:rFonts w:ascii="Arial" w:hAnsi="Arial" w:cs="Arial"/>
          <w:color w:val="00338D"/>
          <w:lang w:val="it-IT"/>
        </w:rPr>
        <w:t>Atto di Trasferimento</w:t>
      </w:r>
      <w:r w:rsidRPr="00656794">
        <w:rPr>
          <w:rFonts w:ascii="Arial" w:hAnsi="Arial" w:cs="Arial"/>
          <w:color w:val="00338D"/>
          <w:lang w:val="it-IT"/>
        </w:rPr>
        <w:t xml:space="preserve"> sulla sicurezza </w:t>
      </w:r>
      <w:r w:rsidR="00236DFA">
        <w:rPr>
          <w:rFonts w:ascii="Arial" w:hAnsi="Arial" w:cs="Arial"/>
          <w:color w:val="00338D"/>
          <w:lang w:val="it-IT"/>
        </w:rPr>
        <w:t>dei</w:t>
      </w:r>
      <w:r w:rsidR="00236DFA" w:rsidRPr="00656794">
        <w:rPr>
          <w:rFonts w:ascii="Arial" w:hAnsi="Arial" w:cs="Arial"/>
          <w:color w:val="00338D"/>
          <w:lang w:val="it-IT"/>
        </w:rPr>
        <w:t xml:space="preserve"> </w:t>
      </w:r>
      <w:r w:rsidR="00DC30A5">
        <w:rPr>
          <w:rFonts w:ascii="Arial" w:hAnsi="Arial" w:cs="Arial"/>
          <w:color w:val="00338D"/>
          <w:lang w:val="it-IT"/>
        </w:rPr>
        <w:t>contraenti</w:t>
      </w:r>
      <w:r w:rsidRPr="00656794">
        <w:rPr>
          <w:rFonts w:ascii="Arial" w:hAnsi="Arial" w:cs="Arial"/>
          <w:color w:val="00338D"/>
          <w:lang w:val="it-IT"/>
        </w:rPr>
        <w:t xml:space="preserve"> ZIL</w:t>
      </w:r>
    </w:p>
    <w:p w14:paraId="3414E8E0" w14:textId="28DD5250"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 questa sezione ho considerato gli aspetti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che ritengo possano avere un potenziale impatto sulla sicurezza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ZIL. Le aree chiave sono:</w:t>
      </w:r>
    </w:p>
    <w:p w14:paraId="2136B4B7"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Requisiti del regime normativo</w:t>
      </w:r>
    </w:p>
    <w:p w14:paraId="4ABF9411"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Risorse di capitale disponibili</w:t>
      </w:r>
    </w:p>
    <w:p w14:paraId="32A023DF"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Profilo di rischio</w:t>
      </w:r>
    </w:p>
    <w:p w14:paraId="448CF7BB"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Profilo del capitale</w:t>
      </w:r>
    </w:p>
    <w:p w14:paraId="6F0892FA"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Piani di mitigazione del rischio e del capitale.</w:t>
      </w:r>
    </w:p>
    <w:p w14:paraId="36FB7D0D" w14:textId="22DC3E3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Sulla base della mia considerazione di questi elementi chiave, a mio avviso il rischio che i benefici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ZIL vengano influenzati negativamente in termini di sicurezza finanziaria è remoto. Pertanto, a mio avviso,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ZIL non saranno materialmente influenzati negativamente dal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proposto.</w:t>
      </w:r>
    </w:p>
    <w:p w14:paraId="68F93BDA" w14:textId="4A477C2B"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7.6.3 Conclusione sull</w:t>
      </w:r>
      <w:r w:rsidR="00F23A40" w:rsidRPr="00656794">
        <w:rPr>
          <w:rFonts w:ascii="Arial" w:hAnsi="Arial" w:cs="Arial"/>
          <w:color w:val="00338D"/>
          <w:lang w:val="it-IT"/>
        </w:rPr>
        <w:t>’</w:t>
      </w:r>
      <w:r w:rsidRPr="00656794">
        <w:rPr>
          <w:rFonts w:ascii="Arial" w:hAnsi="Arial" w:cs="Arial"/>
          <w:color w:val="00338D"/>
          <w:lang w:val="it-IT"/>
        </w:rPr>
        <w:t>impatto del</w:t>
      </w:r>
      <w:r w:rsidR="00F470FD">
        <w:rPr>
          <w:rFonts w:ascii="Arial" w:hAnsi="Arial" w:cs="Arial"/>
          <w:color w:val="00338D"/>
          <w:lang w:val="it-IT"/>
        </w:rPr>
        <w:t>l’</w:t>
      </w:r>
      <w:r w:rsidR="00AE4256">
        <w:rPr>
          <w:rFonts w:ascii="Arial" w:hAnsi="Arial" w:cs="Arial"/>
          <w:color w:val="00338D"/>
          <w:lang w:val="it-IT"/>
        </w:rPr>
        <w:t>Atto di Trasferimento</w:t>
      </w:r>
      <w:r w:rsidRPr="00656794">
        <w:rPr>
          <w:rFonts w:ascii="Arial" w:hAnsi="Arial" w:cs="Arial"/>
          <w:color w:val="00338D"/>
          <w:lang w:val="it-IT"/>
        </w:rPr>
        <w:t xml:space="preserve"> sulla sicurezza dei </w:t>
      </w:r>
      <w:r w:rsidR="00DC30A5">
        <w:rPr>
          <w:rFonts w:ascii="Arial" w:hAnsi="Arial" w:cs="Arial"/>
          <w:color w:val="00338D"/>
          <w:lang w:val="it-IT"/>
        </w:rPr>
        <w:t>contraenti</w:t>
      </w:r>
      <w:r w:rsidR="00420F7E">
        <w:rPr>
          <w:rFonts w:ascii="Arial" w:hAnsi="Arial" w:cs="Arial"/>
          <w:color w:val="00338D"/>
          <w:lang w:val="it-IT"/>
        </w:rPr>
        <w:t xml:space="preserve"> rimanenti di ZLAP</w:t>
      </w:r>
    </w:p>
    <w:p w14:paraId="3C7A1C1F" w14:textId="7E245D8B"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In questa sezione ho considerato gli aspetti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che ritengo possano avere un potenziale impatto sulla sicurezza dei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rimanenti di ZLAP</w:t>
      </w:r>
      <w:r w:rsidRPr="00656794">
        <w:rPr>
          <w:rFonts w:ascii="Arial" w:hAnsi="Arial" w:cs="Arial"/>
          <w:color w:val="000000"/>
          <w:sz w:val="20"/>
          <w:szCs w:val="20"/>
          <w:lang w:val="it-IT"/>
        </w:rPr>
        <w:t>. Le aree chiave sono:</w:t>
      </w:r>
    </w:p>
    <w:p w14:paraId="3395A9C1"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Requisiti del regime normativo</w:t>
      </w:r>
    </w:p>
    <w:p w14:paraId="0F9E1873"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Risorse di capitale disponibili</w:t>
      </w:r>
    </w:p>
    <w:p w14:paraId="3F1CA442"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Profilo di rischio</w:t>
      </w:r>
    </w:p>
    <w:p w14:paraId="48D63F75"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Profilo del capitale</w:t>
      </w:r>
    </w:p>
    <w:p w14:paraId="5E4D5048"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Piani di mitigazione del rischio e del capitale.</w:t>
      </w:r>
    </w:p>
    <w:p w14:paraId="722B6C50" w14:textId="4D54DBDF"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Sulla base della mia considerazione di questi elementi chiave, a mio parere il rischio che i restanti benefici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ZLAP vengano influenzati negativamente in termini di sicurezza finanziaria è remoto. Pertanto, a mio avviso, i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rimanenti di ZLAP</w:t>
      </w:r>
      <w:r w:rsidRPr="00656794">
        <w:rPr>
          <w:rFonts w:ascii="Arial" w:hAnsi="Arial" w:cs="Arial"/>
          <w:color w:val="000000"/>
          <w:sz w:val="20"/>
          <w:szCs w:val="20"/>
          <w:lang w:val="it-IT"/>
        </w:rPr>
        <w:t xml:space="preserve"> non saranno materialmente influenzati negativamente dal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proposto.</w:t>
      </w:r>
    </w:p>
    <w:p w14:paraId="2DF3EFD1" w14:textId="0243E465" w:rsidR="003829D9" w:rsidRPr="00656794" w:rsidRDefault="003829D9" w:rsidP="003829D9">
      <w:pPr>
        <w:pStyle w:val="NormalWeb"/>
        <w:ind w:right="102"/>
        <w:jc w:val="both"/>
        <w:rPr>
          <w:rFonts w:ascii="Arial" w:hAnsi="Arial" w:cs="Arial"/>
          <w:color w:val="000000"/>
          <w:sz w:val="20"/>
          <w:szCs w:val="20"/>
          <w:lang w:val="it-IT"/>
        </w:rPr>
      </w:pPr>
    </w:p>
    <w:p w14:paraId="6697EDF8" w14:textId="14BF6E0D" w:rsidR="003829D9" w:rsidRPr="00656794" w:rsidRDefault="003829D9" w:rsidP="00776489">
      <w:pPr>
        <w:rPr>
          <w:rFonts w:ascii="Arial" w:eastAsia="Times New Roman" w:hAnsi="Arial" w:cs="Arial"/>
          <w:color w:val="000000"/>
          <w:sz w:val="20"/>
          <w:szCs w:val="20"/>
          <w:lang w:val="it-IT" w:eastAsia="en-IE"/>
        </w:rPr>
      </w:pPr>
      <w:r w:rsidRPr="00656794">
        <w:rPr>
          <w:rFonts w:ascii="Arial" w:hAnsi="Arial" w:cs="Arial"/>
          <w:color w:val="000000"/>
          <w:sz w:val="20"/>
          <w:szCs w:val="20"/>
          <w:lang w:val="it-IT"/>
        </w:rPr>
        <w:br w:type="page"/>
      </w:r>
      <w:r w:rsidRPr="00656794">
        <w:rPr>
          <w:rFonts w:ascii="Arial" w:eastAsia="Times New Roman" w:hAnsi="Arial" w:cs="Arial"/>
          <w:b/>
          <w:bCs/>
          <w:color w:val="00338D"/>
          <w:sz w:val="56"/>
          <w:szCs w:val="56"/>
          <w:lang w:val="it-IT" w:eastAsia="en-IE"/>
        </w:rPr>
        <w:lastRenderedPageBreak/>
        <w:t xml:space="preserve">8 </w:t>
      </w:r>
      <w:r w:rsidR="004D1561" w:rsidRPr="00656794">
        <w:rPr>
          <w:rFonts w:ascii="Arial" w:eastAsia="Times New Roman" w:hAnsi="Arial" w:cs="Arial"/>
          <w:b/>
          <w:bCs/>
          <w:color w:val="00338D"/>
          <w:sz w:val="56"/>
          <w:szCs w:val="56"/>
          <w:lang w:val="it-IT" w:eastAsia="en-IE"/>
        </w:rPr>
        <w:t>Valutazione del</w:t>
      </w:r>
      <w:r w:rsidR="00F470FD">
        <w:rPr>
          <w:rFonts w:ascii="Arial" w:eastAsia="Times New Roman" w:hAnsi="Arial" w:cs="Arial"/>
          <w:b/>
          <w:bCs/>
          <w:color w:val="00338D"/>
          <w:sz w:val="56"/>
          <w:szCs w:val="56"/>
          <w:lang w:val="it-IT" w:eastAsia="en-IE"/>
        </w:rPr>
        <w:t>l’</w:t>
      </w:r>
      <w:r w:rsidR="00AE4256">
        <w:rPr>
          <w:rFonts w:ascii="Arial" w:eastAsia="Times New Roman" w:hAnsi="Arial" w:cs="Arial"/>
          <w:b/>
          <w:bCs/>
          <w:color w:val="00338D"/>
          <w:sz w:val="56"/>
          <w:szCs w:val="56"/>
          <w:lang w:val="it-IT" w:eastAsia="en-IE"/>
        </w:rPr>
        <w:t>Atto di Trasferimento</w:t>
      </w:r>
      <w:r w:rsidR="004D1561" w:rsidRPr="00656794">
        <w:rPr>
          <w:rFonts w:ascii="Arial" w:eastAsia="Times New Roman" w:hAnsi="Arial" w:cs="Arial"/>
          <w:b/>
          <w:bCs/>
          <w:color w:val="00338D"/>
          <w:sz w:val="56"/>
          <w:szCs w:val="56"/>
          <w:lang w:val="it-IT" w:eastAsia="en-IE"/>
        </w:rPr>
        <w:t xml:space="preserve"> sull</w:t>
      </w:r>
      <w:r w:rsidR="00F23A40" w:rsidRPr="00656794">
        <w:rPr>
          <w:rFonts w:ascii="Arial" w:eastAsia="Times New Roman" w:hAnsi="Arial" w:cs="Arial"/>
          <w:b/>
          <w:bCs/>
          <w:color w:val="00338D"/>
          <w:sz w:val="56"/>
          <w:szCs w:val="56"/>
          <w:lang w:val="it-IT" w:eastAsia="en-IE"/>
        </w:rPr>
        <w:t>’</w:t>
      </w:r>
      <w:r w:rsidR="004D1561" w:rsidRPr="00656794">
        <w:rPr>
          <w:rFonts w:ascii="Arial" w:eastAsia="Times New Roman" w:hAnsi="Arial" w:cs="Arial"/>
          <w:b/>
          <w:bCs/>
          <w:color w:val="00338D"/>
          <w:sz w:val="56"/>
          <w:szCs w:val="56"/>
          <w:lang w:val="it-IT" w:eastAsia="en-IE"/>
        </w:rPr>
        <w:t xml:space="preserve">equo trattamento </w:t>
      </w:r>
      <w:r w:rsidR="00236DFA">
        <w:rPr>
          <w:rFonts w:ascii="Arial" w:eastAsia="Times New Roman" w:hAnsi="Arial" w:cs="Arial"/>
          <w:b/>
          <w:bCs/>
          <w:color w:val="00338D"/>
          <w:sz w:val="56"/>
          <w:szCs w:val="56"/>
          <w:lang w:val="it-IT" w:eastAsia="en-IE"/>
        </w:rPr>
        <w:t>dei</w:t>
      </w:r>
      <w:r w:rsidR="00236DFA" w:rsidRPr="00656794">
        <w:rPr>
          <w:rFonts w:ascii="Arial" w:eastAsia="Times New Roman" w:hAnsi="Arial" w:cs="Arial"/>
          <w:b/>
          <w:bCs/>
          <w:color w:val="00338D"/>
          <w:sz w:val="56"/>
          <w:szCs w:val="56"/>
          <w:lang w:val="it-IT" w:eastAsia="en-IE"/>
        </w:rPr>
        <w:t xml:space="preserve"> </w:t>
      </w:r>
      <w:r w:rsidR="00DC30A5">
        <w:rPr>
          <w:rFonts w:ascii="Arial" w:eastAsia="Times New Roman" w:hAnsi="Arial" w:cs="Arial"/>
          <w:b/>
          <w:bCs/>
          <w:color w:val="00338D"/>
          <w:sz w:val="56"/>
          <w:szCs w:val="56"/>
          <w:lang w:val="it-IT" w:eastAsia="en-IE"/>
        </w:rPr>
        <w:t>contraenti</w:t>
      </w:r>
    </w:p>
    <w:p w14:paraId="6D913E46" w14:textId="21185810" w:rsidR="003829D9" w:rsidRPr="00656794" w:rsidRDefault="003829D9" w:rsidP="004D1561">
      <w:pPr>
        <w:spacing w:before="507"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00338D"/>
          <w:sz w:val="28"/>
          <w:szCs w:val="28"/>
          <w:lang w:val="it-IT" w:eastAsia="en-IE"/>
        </w:rPr>
        <w:t>8.1 Introdu</w:t>
      </w:r>
      <w:r w:rsidR="004D1561" w:rsidRPr="00656794">
        <w:rPr>
          <w:rFonts w:ascii="Arial" w:eastAsia="Times New Roman" w:hAnsi="Arial" w:cs="Arial"/>
          <w:b/>
          <w:bCs/>
          <w:color w:val="00338D"/>
          <w:sz w:val="28"/>
          <w:szCs w:val="28"/>
          <w:lang w:val="it-IT" w:eastAsia="en-IE"/>
        </w:rPr>
        <w:t>zione</w:t>
      </w:r>
    </w:p>
    <w:p w14:paraId="1D8E1483" w14:textId="03C2D7EC"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equo trattamento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attraverso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interpretazione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applicazione del PRE è una parte importante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attuale regime normativo per ZLAP in Irlanda. In Irlanda il concetto PRE si riferisce al modo in cui le compagnie assicurative trattano con i loro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in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ampia gamma di settori.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HoAF di ZLAP ha la responsabilità di considerare PRE e consigliare il Consiglio in materia, in particolare per quanto riguarda il calcolo delle riserve tecniche. Ulteriori dettagli sono forniti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appendice 4.</w:t>
      </w:r>
    </w:p>
    <w:p w14:paraId="6EB5A893" w14:textId="5462C048"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Non esiste un regime specifico in Italia, tuttavia, ZIL segue il quadro di </w:t>
      </w:r>
      <w:r w:rsidR="00F23A40" w:rsidRPr="00656794">
        <w:rPr>
          <w:rFonts w:ascii="Arial" w:hAnsi="Arial" w:cs="Arial"/>
          <w:color w:val="000000"/>
          <w:sz w:val="20"/>
          <w:szCs w:val="20"/>
          <w:lang w:val="it-IT"/>
        </w:rPr>
        <w:t>“</w:t>
      </w:r>
      <w:r w:rsidR="007E211D">
        <w:rPr>
          <w:rFonts w:ascii="Arial" w:hAnsi="Arial" w:cs="Arial"/>
          <w:color w:val="000000"/>
          <w:sz w:val="20"/>
          <w:szCs w:val="20"/>
          <w:lang w:val="it-IT"/>
        </w:rPr>
        <w:t>C</w:t>
      </w:r>
      <w:r w:rsidRPr="00656794">
        <w:rPr>
          <w:rFonts w:ascii="Arial" w:hAnsi="Arial" w:cs="Arial"/>
          <w:color w:val="000000"/>
          <w:sz w:val="20"/>
          <w:szCs w:val="20"/>
          <w:lang w:val="it-IT"/>
        </w:rPr>
        <w:t xml:space="preserve">ondotta </w:t>
      </w:r>
      <w:r w:rsidR="007E211D">
        <w:rPr>
          <w:rFonts w:ascii="Arial" w:hAnsi="Arial" w:cs="Arial"/>
          <w:color w:val="000000"/>
          <w:sz w:val="20"/>
          <w:szCs w:val="20"/>
          <w:lang w:val="it-IT"/>
        </w:rPr>
        <w:t>verso il</w:t>
      </w:r>
      <w:r w:rsidRPr="00656794">
        <w:rPr>
          <w:rFonts w:ascii="Arial" w:hAnsi="Arial" w:cs="Arial"/>
          <w:color w:val="000000"/>
          <w:sz w:val="20"/>
          <w:szCs w:val="20"/>
          <w:lang w:val="it-IT"/>
        </w:rPr>
        <w:t xml:space="preserve"> </w:t>
      </w:r>
      <w:r w:rsidR="007E211D">
        <w:rPr>
          <w:rFonts w:ascii="Arial" w:hAnsi="Arial" w:cs="Arial"/>
          <w:color w:val="000000"/>
          <w:sz w:val="20"/>
          <w:szCs w:val="20"/>
          <w:lang w:val="it-IT"/>
        </w:rPr>
        <w:t>C</w:t>
      </w:r>
      <w:r w:rsidRPr="00656794">
        <w:rPr>
          <w:rFonts w:ascii="Arial" w:hAnsi="Arial" w:cs="Arial"/>
          <w:color w:val="000000"/>
          <w:sz w:val="20"/>
          <w:szCs w:val="20"/>
          <w:lang w:val="it-IT"/>
        </w:rPr>
        <w:t>liente</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a livello di gruppo che ha alcune caratteristiche simili al regime PRE in Irlanda. Il </w:t>
      </w:r>
      <w:r w:rsidR="005E55EE" w:rsidRPr="00656794">
        <w:rPr>
          <w:rFonts w:ascii="Arial" w:hAnsi="Arial" w:cs="Arial"/>
          <w:color w:val="000000"/>
          <w:sz w:val="20"/>
          <w:szCs w:val="20"/>
          <w:lang w:val="it-IT"/>
        </w:rPr>
        <w:t>quadro</w:t>
      </w:r>
      <w:r w:rsidRPr="00656794">
        <w:rPr>
          <w:rFonts w:ascii="Arial" w:hAnsi="Arial" w:cs="Arial"/>
          <w:color w:val="000000"/>
          <w:sz w:val="20"/>
          <w:szCs w:val="20"/>
          <w:lang w:val="it-IT"/>
        </w:rPr>
        <w:t xml:space="preserve"> </w:t>
      </w:r>
      <w:r w:rsidR="007E211D" w:rsidRPr="007E211D">
        <w:rPr>
          <w:rFonts w:ascii="Arial" w:hAnsi="Arial" w:cs="Arial"/>
          <w:color w:val="000000"/>
          <w:sz w:val="20"/>
          <w:szCs w:val="20"/>
          <w:lang w:val="it-IT"/>
        </w:rPr>
        <w:t xml:space="preserve">Condotta verso il </w:t>
      </w:r>
      <w:r w:rsidR="007E211D">
        <w:rPr>
          <w:rFonts w:ascii="Arial" w:hAnsi="Arial" w:cs="Arial"/>
          <w:color w:val="000000"/>
          <w:sz w:val="20"/>
          <w:szCs w:val="20"/>
          <w:lang w:val="it-IT"/>
        </w:rPr>
        <w:t>C</w:t>
      </w:r>
      <w:r w:rsidR="007E211D" w:rsidRPr="007E211D">
        <w:rPr>
          <w:rFonts w:ascii="Arial" w:hAnsi="Arial" w:cs="Arial"/>
          <w:color w:val="000000"/>
          <w:sz w:val="20"/>
          <w:szCs w:val="20"/>
          <w:lang w:val="it-IT"/>
        </w:rPr>
        <w:t xml:space="preserve">liente </w:t>
      </w:r>
      <w:r w:rsidRPr="00656794">
        <w:rPr>
          <w:rFonts w:ascii="Arial" w:hAnsi="Arial" w:cs="Arial"/>
          <w:color w:val="000000"/>
          <w:sz w:val="20"/>
          <w:szCs w:val="20"/>
          <w:lang w:val="it-IT"/>
        </w:rPr>
        <w:t>supporta la fornitura di buoni risultati per i clienti sfruttando le informazioni sui rischi dai processi esistenti e gestendo tale rischio, rafforzando la strategia di ZIL di concentrarsi sui clienti. Una valutazione annuale del rischio viene eseguita dal dipartimento Conformità ed etica aziendale considerando i rischi di condotta in aree quali reclami e pagamenti, servizi e reclami ai clienti, gestione delle proposte e vendite e distribuzione.</w:t>
      </w:r>
    </w:p>
    <w:p w14:paraId="4A10F814" w14:textId="3BF34AFD"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HOAF in ZLAP ha documentato la sua interpretazione del PRE per le polizze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una copia delle sue considerazioni più generali è riportata nella Sezione 4. Questa è stata condivisa con ZIL che ha convenuto 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è ragionevole e in linea con le loro aspettative andando avanti. Ho discusso con ZLAP e ZIL gli elementi chiave del PRE e cosa accadrà dopo il trasferimento.</w:t>
      </w:r>
    </w:p>
    <w:p w14:paraId="0809E7AB" w14:textId="52095955"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sezione 8.2 copre le aree che, a mio avviso, necessitano di essere specificamente affrontate in relazione al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In particolare, ho considerato quanto segue:</w:t>
      </w:r>
    </w:p>
    <w:p w14:paraId="4D6FD240" w14:textId="77777777" w:rsidR="004D1561"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Standard di servizio: i contraenti hanno la ragionevole aspettativa che i servizi che ricevono saranno forniti in modo professionale, che i reclami e le richieste saranno evasi prontamente. </w:t>
      </w:r>
    </w:p>
    <w:p w14:paraId="7F093AC6" w14:textId="3DF725BE"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Sicurezza delle prestazioni: i contraenti hanno la ragionevole aspettativa che le loro prestazioni siano sicure e verranno pagate alla scadenza. Ho considerato la solidità finanziaria e la continua conformità ai requisiti normativi di Solvency II nella precedente Sezione 7.</w:t>
      </w:r>
    </w:p>
    <w:p w14:paraId="2020ABDA" w14:textId="7A6FB939"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Gamma di fondi: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hanno una ragionevole aspettativa che la gamma di fondi disponibile sarà mantenuta.</w:t>
      </w:r>
    </w:p>
    <w:p w14:paraId="206D8FA8"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Diritto alle prestazioni: i contraenti hanno la ragionevole aspettativa che i crediti validi saranno pagati in conformità con i termini e le condizioni della polizza e che i crediti di scadenza, riscatto e recesso saranno pagati quando richiesto.</w:t>
      </w:r>
    </w:p>
    <w:p w14:paraId="262CE21F" w14:textId="2B21BA9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i contraenti hanno la ragionevole aspettativa che i contratti rimangano invariati.</w:t>
      </w:r>
    </w:p>
    <w:p w14:paraId="22EB7AAF"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Spese: i contraenti hanno una ragionevole aspettativa che le spese applicate rimangano in linea con i termini e le condizioni della polizza e che gli approcci non cambino.</w:t>
      </w:r>
    </w:p>
    <w:p w14:paraId="3ECE40A0" w14:textId="5E1CFFB8"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Costi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i contraenti hanno la ragionevole aspettativa che i costi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vengano loro addebitati.</w:t>
      </w:r>
    </w:p>
    <w:p w14:paraId="099204AF" w14:textId="68CC6418"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Discrezionalità: i contraenti hanno una ragionevole aspettativa 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applicazione della discrezionalità rimanga invariata.</w:t>
      </w:r>
    </w:p>
    <w:p w14:paraId="41CA56C9" w14:textId="0B57CB09"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Reclami e </w:t>
      </w:r>
      <w:r w:rsidR="00A642C0">
        <w:rPr>
          <w:rFonts w:ascii="Arial" w:hAnsi="Arial" w:cs="Arial"/>
          <w:color w:val="000000"/>
          <w:sz w:val="20"/>
          <w:szCs w:val="20"/>
          <w:lang w:val="it-IT"/>
        </w:rPr>
        <w:t>contenziosi</w:t>
      </w:r>
      <w:r w:rsidRPr="00656794">
        <w:rPr>
          <w:rFonts w:ascii="Arial" w:hAnsi="Arial" w:cs="Arial"/>
          <w:color w:val="000000"/>
          <w:sz w:val="20"/>
          <w:szCs w:val="20"/>
          <w:lang w:val="it-IT"/>
        </w:rPr>
        <w:t>: i contraenti hanno una ragionevole aspettativa che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approccio ai reclami e ai </w:t>
      </w:r>
      <w:r w:rsidR="00A642C0">
        <w:rPr>
          <w:rFonts w:ascii="Arial" w:hAnsi="Arial" w:cs="Arial"/>
          <w:color w:val="000000"/>
          <w:sz w:val="20"/>
          <w:szCs w:val="20"/>
          <w:lang w:val="it-IT"/>
        </w:rPr>
        <w:t>contenzios</w:t>
      </w:r>
      <w:r w:rsidR="00A642C0" w:rsidRPr="00656794">
        <w:rPr>
          <w:rFonts w:ascii="Arial" w:hAnsi="Arial" w:cs="Arial"/>
          <w:color w:val="000000"/>
          <w:sz w:val="20"/>
          <w:szCs w:val="20"/>
          <w:lang w:val="it-IT"/>
        </w:rPr>
        <w:t xml:space="preserve">i </w:t>
      </w:r>
      <w:r w:rsidRPr="00656794">
        <w:rPr>
          <w:rFonts w:ascii="Arial" w:hAnsi="Arial" w:cs="Arial"/>
          <w:color w:val="000000"/>
          <w:sz w:val="20"/>
          <w:szCs w:val="20"/>
          <w:lang w:val="it-IT"/>
        </w:rPr>
        <w:t>non sarà influenzato dal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0A70331E" w14:textId="171A3164"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Comunicazioni </w:t>
      </w:r>
      <w:r w:rsidR="00236DFA">
        <w:rPr>
          <w:rFonts w:ascii="Arial" w:hAnsi="Arial" w:cs="Arial"/>
          <w:color w:val="000000"/>
          <w:sz w:val="20"/>
          <w:szCs w:val="20"/>
          <w:lang w:val="it-IT"/>
        </w:rPr>
        <w:t>ai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8A0967">
        <w:rPr>
          <w:rFonts w:ascii="Arial" w:hAnsi="Arial" w:cs="Arial"/>
          <w:color w:val="000000"/>
          <w:sz w:val="20"/>
          <w:szCs w:val="20"/>
          <w:lang w:val="it-IT"/>
        </w:rPr>
        <w:t xml:space="preserve"> in perimetro per il trasferimento</w:t>
      </w:r>
      <w:r w:rsidRPr="00656794">
        <w:rPr>
          <w:rFonts w:ascii="Arial" w:hAnsi="Arial" w:cs="Arial"/>
          <w:color w:val="000000"/>
          <w:sz w:val="20"/>
          <w:szCs w:val="20"/>
          <w:lang w:val="it-IT"/>
        </w:rPr>
        <w:t xml:space="preserve"> dal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avrebbero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aspettativa di ricevere comunicazioni (incluse le informazioni tecniche sul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insieme a una sintesi della Relazione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Attuario Indipendente) e, in caso di problemi, di avere la possibilità di sollevarli.</w:t>
      </w:r>
    </w:p>
    <w:p w14:paraId="0D65AE10" w14:textId="6F1B2096"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mia valutazione generale è di concentrarsi sulle modifiche a uno qualsiasi dei requisiti generali introdotti dal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10D35D14" w14:textId="77777777" w:rsidR="003829D9" w:rsidRPr="00656794" w:rsidRDefault="003829D9" w:rsidP="004D1561">
      <w:pPr>
        <w:spacing w:before="507" w:after="0" w:line="240" w:lineRule="auto"/>
        <w:rPr>
          <w:rFonts w:ascii="Arial" w:eastAsia="Times New Roman" w:hAnsi="Arial" w:cs="Arial"/>
          <w:b/>
          <w:bCs/>
          <w:color w:val="00338D"/>
          <w:sz w:val="28"/>
          <w:szCs w:val="28"/>
          <w:lang w:val="it-IT" w:eastAsia="en-IE"/>
        </w:rPr>
      </w:pPr>
      <w:r w:rsidRPr="00656794">
        <w:rPr>
          <w:rFonts w:ascii="Arial" w:eastAsia="Times New Roman" w:hAnsi="Arial" w:cs="Arial"/>
          <w:b/>
          <w:bCs/>
          <w:color w:val="00338D"/>
          <w:sz w:val="28"/>
          <w:szCs w:val="28"/>
          <w:lang w:val="it-IT" w:eastAsia="en-IE"/>
        </w:rPr>
        <w:t>8.2 Considerazioni specifiche</w:t>
      </w:r>
    </w:p>
    <w:p w14:paraId="17A683C3" w14:textId="77777777"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8.2.1 Standard di servizio</w:t>
      </w:r>
    </w:p>
    <w:p w14:paraId="6A198BDB" w14:textId="6069DFBC"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Come indicato nella sezione 5.12, alla </w:t>
      </w:r>
      <w:r w:rsidR="00DB4C55">
        <w:rPr>
          <w:rFonts w:ascii="Arial" w:hAnsi="Arial" w:cs="Arial"/>
          <w:color w:val="000000"/>
          <w:sz w:val="20"/>
          <w:szCs w:val="20"/>
          <w:lang w:val="it-IT"/>
        </w:rPr>
        <w:t>Data di trasferimento effettiva</w:t>
      </w:r>
      <w:r w:rsidRPr="00656794">
        <w:rPr>
          <w:rFonts w:ascii="Arial" w:hAnsi="Arial" w:cs="Arial"/>
          <w:color w:val="000000"/>
          <w:sz w:val="20"/>
          <w:szCs w:val="20"/>
          <w:lang w:val="it-IT"/>
        </w:rPr>
        <w:t xml:space="preserve">, </w:t>
      </w:r>
      <w:r w:rsidR="009E4AA6" w:rsidRPr="009E4AA6">
        <w:rPr>
          <w:rFonts w:ascii="Arial" w:hAnsi="Arial" w:cs="Arial"/>
          <w:color w:val="000000"/>
          <w:sz w:val="20"/>
          <w:szCs w:val="20"/>
          <w:lang w:val="it-IT"/>
        </w:rPr>
        <w:t>il fornitore che attualmente svolge compiti amministrativi sul portafoglio oggetto di trasferimento (Capita) verrà sostituito da un fornitore alternativo, Previnet, che risulta essere il fornitore di servizi in outsourcing scelto per la gestione del portafoglio; Previnet risulta essere affermato a livello europeo. Il portafoglio oggetto di trasferimento è attualmente gestito nei sistemi di amministrazione Life400 e ZLife e, come parte piano di progetto, entrambe le componenti stanno migrando verso Previnet</w:t>
      </w:r>
      <w:r w:rsidRPr="00656794">
        <w:rPr>
          <w:rFonts w:ascii="Arial" w:hAnsi="Arial" w:cs="Arial"/>
          <w:color w:val="000000"/>
          <w:sz w:val="20"/>
          <w:szCs w:val="20"/>
          <w:lang w:val="it-IT"/>
        </w:rPr>
        <w:t>.</w:t>
      </w:r>
    </w:p>
    <w:p w14:paraId="71173D5A" w14:textId="42771DF1" w:rsidR="003829D9" w:rsidRPr="00656794" w:rsidRDefault="009E4AA6" w:rsidP="003829D9">
      <w:pPr>
        <w:pStyle w:val="NormalWeb"/>
        <w:ind w:right="102"/>
        <w:jc w:val="both"/>
        <w:rPr>
          <w:rFonts w:ascii="Arial" w:hAnsi="Arial" w:cs="Arial"/>
          <w:color w:val="000000"/>
          <w:sz w:val="20"/>
          <w:szCs w:val="20"/>
          <w:lang w:val="it-IT"/>
        </w:rPr>
      </w:pPr>
      <w:r w:rsidRPr="009E4AA6">
        <w:rPr>
          <w:rFonts w:ascii="Arial" w:hAnsi="Arial" w:cs="Arial"/>
          <w:color w:val="000000"/>
          <w:sz w:val="20"/>
          <w:szCs w:val="20"/>
          <w:lang w:val="it-IT"/>
        </w:rPr>
        <w:t>È stato istituito un gruppo di progetto che include rappresentanti di ZLAP, ZIL e Previnet che ha l’obiettivo di garantire la corretta transizione delle polizze. Il completamento del progetto in linea con il piano di progetto è la chiave per consentire il trasferimento del portafoglio. Sono inoltre già cominciate le attività per la migrazione polizze e, in base al calendario del progetto, si prevede che si protrarranno fino ad aprile 2022</w:t>
      </w:r>
      <w:r w:rsidR="003829D9" w:rsidRPr="00656794">
        <w:rPr>
          <w:rFonts w:ascii="Arial" w:hAnsi="Arial" w:cs="Arial"/>
          <w:color w:val="000000"/>
          <w:sz w:val="20"/>
          <w:szCs w:val="20"/>
          <w:lang w:val="it-IT"/>
        </w:rPr>
        <w:t xml:space="preserve">. La tempistica del progetto è impegnativa, sebbene basata sulla revisione e </w:t>
      </w:r>
      <w:r w:rsidR="00A4633F">
        <w:rPr>
          <w:rFonts w:ascii="Arial" w:hAnsi="Arial" w:cs="Arial"/>
          <w:color w:val="000000"/>
          <w:sz w:val="20"/>
          <w:szCs w:val="20"/>
          <w:lang w:val="it-IT"/>
        </w:rPr>
        <w:t>sul</w:t>
      </w:r>
      <w:r w:rsidR="003829D9" w:rsidRPr="00656794">
        <w:rPr>
          <w:rFonts w:ascii="Arial" w:hAnsi="Arial" w:cs="Arial"/>
          <w:color w:val="000000"/>
          <w:sz w:val="20"/>
          <w:szCs w:val="20"/>
          <w:lang w:val="it-IT"/>
        </w:rPr>
        <w:t xml:space="preserve">la sfida della tempistica e delle attività di entrambe le società, la valutazione </w:t>
      </w:r>
      <w:r w:rsidR="00A4633F">
        <w:rPr>
          <w:rFonts w:ascii="Arial" w:hAnsi="Arial" w:cs="Arial"/>
          <w:color w:val="000000"/>
          <w:sz w:val="20"/>
          <w:szCs w:val="20"/>
          <w:lang w:val="it-IT"/>
        </w:rPr>
        <w:t>di</w:t>
      </w:r>
      <w:r w:rsidR="00A4633F" w:rsidRPr="00656794">
        <w:rPr>
          <w:rFonts w:ascii="Arial" w:hAnsi="Arial" w:cs="Arial"/>
          <w:color w:val="000000"/>
          <w:sz w:val="20"/>
          <w:szCs w:val="20"/>
          <w:lang w:val="it-IT"/>
        </w:rPr>
        <w:t xml:space="preserve"> </w:t>
      </w:r>
      <w:r w:rsidR="00AC16DC" w:rsidRPr="00656794">
        <w:rPr>
          <w:rFonts w:ascii="Arial" w:hAnsi="Arial" w:cs="Arial"/>
          <w:color w:val="000000"/>
          <w:sz w:val="20"/>
          <w:szCs w:val="20"/>
          <w:lang w:val="it-IT"/>
        </w:rPr>
        <w:t>questa</w:t>
      </w:r>
      <w:r w:rsidR="003829D9" w:rsidRPr="00656794">
        <w:rPr>
          <w:rFonts w:ascii="Arial" w:hAnsi="Arial" w:cs="Arial"/>
          <w:color w:val="000000"/>
          <w:sz w:val="20"/>
          <w:szCs w:val="20"/>
          <w:lang w:val="it-IT"/>
        </w:rPr>
        <w:t xml:space="preserve"> fase è che è realizzabile.</w:t>
      </w:r>
      <w:r w:rsidR="000671E6">
        <w:rPr>
          <w:rFonts w:ascii="Arial" w:hAnsi="Arial" w:cs="Arial"/>
          <w:color w:val="000000"/>
          <w:sz w:val="20"/>
          <w:szCs w:val="20"/>
          <w:lang w:val="it-IT"/>
        </w:rPr>
        <w:t xml:space="preserve"> </w:t>
      </w:r>
    </w:p>
    <w:p w14:paraId="033AAD9C" w14:textId="02369CBF"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Ho avuto discussioni con i rappresentanti del progetto di ZIL e Previnet per capire i progressi con la migrazione </w:t>
      </w:r>
      <w:r w:rsidR="00A4633F">
        <w:rPr>
          <w:rFonts w:ascii="Arial" w:hAnsi="Arial" w:cs="Arial"/>
          <w:color w:val="000000"/>
          <w:sz w:val="20"/>
          <w:szCs w:val="20"/>
          <w:lang w:val="it-IT"/>
        </w:rPr>
        <w:t>polizze</w:t>
      </w:r>
      <w:r w:rsidRPr="00656794">
        <w:rPr>
          <w:rFonts w:ascii="Arial" w:hAnsi="Arial" w:cs="Arial"/>
          <w:color w:val="000000"/>
          <w:sz w:val="20"/>
          <w:szCs w:val="20"/>
          <w:lang w:val="it-IT"/>
        </w:rPr>
        <w:t>. Ci sono due sistemi di amministrazione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ZLIFE e L400. La migrazione dei dati dovrebbe iniziare nella seconda metà del 2021 con test dettagliati, controlli sulla qualità dei dati ed esecuzioni parallele</w:t>
      </w:r>
      <w:r w:rsidR="00212B92"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previst</w:t>
      </w:r>
      <w:r w:rsidR="00212B92" w:rsidRPr="00656794">
        <w:rPr>
          <w:rFonts w:ascii="Arial" w:hAnsi="Arial" w:cs="Arial"/>
          <w:color w:val="000000"/>
          <w:sz w:val="20"/>
          <w:szCs w:val="20"/>
          <w:lang w:val="it-IT"/>
        </w:rPr>
        <w:t>i</w:t>
      </w:r>
      <w:r w:rsidRPr="00656794">
        <w:rPr>
          <w:rFonts w:ascii="Arial" w:hAnsi="Arial" w:cs="Arial"/>
          <w:color w:val="000000"/>
          <w:sz w:val="20"/>
          <w:szCs w:val="20"/>
          <w:lang w:val="it-IT"/>
        </w:rPr>
        <w:t xml:space="preserve"> per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inizio del 2022. Previnet adatterà la propria tecnologia esistente per catturare le caratteristiche delle </w:t>
      </w:r>
      <w:r w:rsidR="00FA60F2">
        <w:rPr>
          <w:rFonts w:ascii="Arial" w:hAnsi="Arial" w:cs="Arial"/>
          <w:color w:val="000000"/>
          <w:sz w:val="20"/>
          <w:szCs w:val="20"/>
          <w:lang w:val="it-IT"/>
        </w:rPr>
        <w:t>polizze</w:t>
      </w:r>
      <w:r w:rsidRPr="00656794">
        <w:rPr>
          <w:rFonts w:ascii="Arial" w:hAnsi="Arial" w:cs="Arial"/>
          <w:color w:val="000000"/>
          <w:sz w:val="20"/>
          <w:szCs w:val="20"/>
          <w:lang w:val="it-IT"/>
        </w:rPr>
        <w:t xml:space="preserve"> di trasferimento (non sono previste caratteristiche insolite). Previnet ha una vasta esperienza nella partecipazione a progetti di migrazione di servizi amministrativi.</w:t>
      </w:r>
    </w:p>
    <w:p w14:paraId="7D22E73A" w14:textId="3172473E" w:rsidR="003829D9" w:rsidRPr="00656794" w:rsidRDefault="003829D9" w:rsidP="003829D9">
      <w:pPr>
        <w:pStyle w:val="NormalWeb"/>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 xml:space="preserve">Prevedo che il trasferimento del portafoglio avverrà quando la migrazione IT sarà completata in linea con il contratto di vendita aziendale. </w:t>
      </w:r>
      <w:r w:rsidR="00AF6C34" w:rsidRPr="00AF6C34">
        <w:rPr>
          <w:rFonts w:ascii="Arial" w:hAnsi="Arial" w:cs="Arial"/>
          <w:i/>
          <w:iCs/>
          <w:color w:val="000000"/>
          <w:sz w:val="20"/>
          <w:szCs w:val="20"/>
          <w:lang w:val="it-IT"/>
        </w:rPr>
        <w:t xml:space="preserve">Prevedo che il progetto di migrazione verrà completato in anticipo rispetto alla data effettiva di trasferimento, in modo da garantire una transizione che favorisca la continuità in termini di servizi amministrativi per </w:t>
      </w:r>
      <w:r w:rsidR="00236DFA">
        <w:rPr>
          <w:rFonts w:ascii="Arial" w:hAnsi="Arial" w:cs="Arial"/>
          <w:i/>
          <w:iCs/>
          <w:color w:val="000000"/>
          <w:sz w:val="20"/>
          <w:szCs w:val="20"/>
          <w:lang w:val="it-IT"/>
        </w:rPr>
        <w:t>i</w:t>
      </w:r>
      <w:r w:rsidR="00236DFA" w:rsidRPr="00AF6C34">
        <w:rPr>
          <w:rFonts w:ascii="Arial" w:hAnsi="Arial" w:cs="Arial"/>
          <w:i/>
          <w:iCs/>
          <w:color w:val="000000"/>
          <w:sz w:val="20"/>
          <w:szCs w:val="20"/>
          <w:lang w:val="it-IT"/>
        </w:rPr>
        <w:t xml:space="preserve"> </w:t>
      </w:r>
      <w:r w:rsidR="00DC30A5">
        <w:rPr>
          <w:rFonts w:ascii="Arial" w:hAnsi="Arial" w:cs="Arial"/>
          <w:i/>
          <w:iCs/>
          <w:color w:val="000000"/>
          <w:sz w:val="20"/>
          <w:szCs w:val="20"/>
          <w:lang w:val="it-IT"/>
        </w:rPr>
        <w:t>contraenti</w:t>
      </w:r>
      <w:r w:rsidR="00AF6C34" w:rsidRPr="00AF6C34">
        <w:rPr>
          <w:rFonts w:ascii="Arial" w:hAnsi="Arial" w:cs="Arial"/>
          <w:i/>
          <w:iCs/>
          <w:color w:val="000000"/>
          <w:sz w:val="20"/>
          <w:szCs w:val="20"/>
          <w:lang w:val="it-IT"/>
        </w:rPr>
        <w:t>, senza alcun impatto sui servizi loro forniti prima, durante e dopo la data di trasferimento effettiva</w:t>
      </w:r>
      <w:r w:rsidRPr="00656794">
        <w:rPr>
          <w:rFonts w:ascii="Arial" w:hAnsi="Arial" w:cs="Arial"/>
          <w:i/>
          <w:iCs/>
          <w:color w:val="000000"/>
          <w:sz w:val="20"/>
          <w:szCs w:val="20"/>
          <w:lang w:val="it-IT"/>
        </w:rPr>
        <w:t>.</w:t>
      </w:r>
    </w:p>
    <w:p w14:paraId="3F0D86B2" w14:textId="77777777"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8.2.2 Sicurezza delle prestazioni</w:t>
      </w:r>
    </w:p>
    <w:p w14:paraId="04F5375B" w14:textId="7777777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Questo è considerato nella sezione 7.</w:t>
      </w:r>
    </w:p>
    <w:p w14:paraId="4E59459F" w14:textId="77777777"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8.2.3 Gamma di fondi</w:t>
      </w:r>
    </w:p>
    <w:p w14:paraId="51D0BB01" w14:textId="4EC0D206"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xml:space="preserve">Alcuni fondi attualmente offerti da ZLAP </w:t>
      </w:r>
      <w:r w:rsidR="00236DFA">
        <w:rPr>
          <w:rFonts w:ascii="Arial" w:hAnsi="Arial" w:cs="Arial"/>
          <w:color w:val="000000"/>
          <w:sz w:val="20"/>
          <w:szCs w:val="20"/>
          <w:lang w:val="it-IT"/>
        </w:rPr>
        <w:t>ai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0A1AB2">
        <w:rPr>
          <w:rFonts w:ascii="Arial" w:hAnsi="Arial" w:cs="Arial"/>
          <w:color w:val="000000"/>
          <w:sz w:val="20"/>
          <w:szCs w:val="20"/>
          <w:lang w:val="it-IT"/>
        </w:rPr>
        <w:t xml:space="preserve"> </w:t>
      </w:r>
      <w:r w:rsidR="00AD0F9C">
        <w:rPr>
          <w:rFonts w:ascii="Arial" w:hAnsi="Arial" w:cs="Arial"/>
          <w:color w:val="000000"/>
          <w:sz w:val="20"/>
          <w:szCs w:val="20"/>
          <w:lang w:val="it-IT"/>
        </w:rPr>
        <w:t>rientranti</w:t>
      </w:r>
      <w:r w:rsidR="000A1AB2">
        <w:rPr>
          <w:rFonts w:ascii="Arial" w:hAnsi="Arial" w:cs="Arial"/>
          <w:color w:val="000000"/>
          <w:sz w:val="20"/>
          <w:szCs w:val="20"/>
          <w:lang w:val="it-IT"/>
        </w:rPr>
        <w:t xml:space="preserve"> nel perimetro di trasferimento</w:t>
      </w:r>
      <w:r w:rsidRPr="00656794">
        <w:rPr>
          <w:rFonts w:ascii="Arial" w:hAnsi="Arial" w:cs="Arial"/>
          <w:color w:val="000000"/>
          <w:sz w:val="20"/>
          <w:szCs w:val="20"/>
          <w:lang w:val="it-IT"/>
        </w:rPr>
        <w:t xml:space="preserve"> non saranno </w:t>
      </w:r>
      <w:r w:rsidR="000E3929">
        <w:rPr>
          <w:rFonts w:ascii="Arial" w:hAnsi="Arial" w:cs="Arial"/>
          <w:color w:val="000000"/>
          <w:sz w:val="20"/>
          <w:szCs w:val="20"/>
          <w:lang w:val="it-IT"/>
        </w:rPr>
        <w:t xml:space="preserve">più </w:t>
      </w:r>
      <w:r w:rsidRPr="00656794">
        <w:rPr>
          <w:rFonts w:ascii="Arial" w:hAnsi="Arial" w:cs="Arial"/>
          <w:color w:val="000000"/>
          <w:sz w:val="20"/>
          <w:szCs w:val="20"/>
          <w:lang w:val="it-IT"/>
        </w:rPr>
        <w:t xml:space="preserve">disponibili per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873B88">
        <w:rPr>
          <w:rFonts w:ascii="Arial" w:hAnsi="Arial" w:cs="Arial"/>
          <w:color w:val="000000"/>
          <w:sz w:val="20"/>
          <w:szCs w:val="20"/>
          <w:lang w:val="it-IT"/>
        </w:rPr>
        <w:t xml:space="preserve"> </w:t>
      </w:r>
      <w:r w:rsidR="00712419">
        <w:rPr>
          <w:rFonts w:ascii="Arial" w:hAnsi="Arial" w:cs="Arial"/>
          <w:color w:val="000000"/>
          <w:sz w:val="20"/>
          <w:szCs w:val="20"/>
          <w:lang w:val="it-IT"/>
        </w:rPr>
        <w:t>stessi</w:t>
      </w:r>
      <w:r w:rsidRPr="00656794">
        <w:rPr>
          <w:rFonts w:ascii="Arial" w:hAnsi="Arial" w:cs="Arial"/>
          <w:color w:val="000000"/>
          <w:sz w:val="20"/>
          <w:szCs w:val="20"/>
          <w:lang w:val="it-IT"/>
        </w:rPr>
        <w:t xml:space="preserve"> dopo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0E3929">
        <w:rPr>
          <w:rFonts w:ascii="Arial" w:hAnsi="Arial" w:cs="Arial"/>
          <w:color w:val="000000"/>
          <w:sz w:val="20"/>
          <w:szCs w:val="20"/>
          <w:lang w:val="it-IT"/>
        </w:rPr>
        <w:t xml:space="preserve"> in ZIL</w:t>
      </w:r>
      <w:r w:rsidRPr="00656794">
        <w:rPr>
          <w:rFonts w:ascii="Arial" w:hAnsi="Arial" w:cs="Arial"/>
          <w:color w:val="000000"/>
          <w:sz w:val="20"/>
          <w:szCs w:val="20"/>
          <w:lang w:val="it-IT"/>
        </w:rPr>
        <w:t xml:space="preserve">; </w:t>
      </w:r>
      <w:r w:rsidR="000E3929" w:rsidRPr="000E3929">
        <w:rPr>
          <w:rFonts w:ascii="Arial" w:hAnsi="Arial" w:cs="Arial"/>
          <w:color w:val="000000"/>
          <w:sz w:val="20"/>
          <w:szCs w:val="20"/>
          <w:lang w:val="it-IT"/>
        </w:rPr>
        <w:t>le attività di adeguamento sono attualmente in corso, anche se non completate, per disporre di fondi sostitutivi adeguati prima del trasferimento effettivo</w:t>
      </w:r>
      <w:r w:rsidRPr="00656794">
        <w:rPr>
          <w:rFonts w:ascii="Arial" w:hAnsi="Arial" w:cs="Arial"/>
          <w:color w:val="000000"/>
          <w:sz w:val="20"/>
          <w:szCs w:val="20"/>
          <w:lang w:val="it-IT"/>
        </w:rPr>
        <w:t>.</w:t>
      </w:r>
    </w:p>
    <w:p w14:paraId="4FA2F1D3" w14:textId="594004E0" w:rsidR="003829D9" w:rsidRPr="00656794" w:rsidRDefault="000E3929" w:rsidP="003829D9">
      <w:pPr>
        <w:pStyle w:val="NormalWeb"/>
        <w:ind w:right="102"/>
        <w:jc w:val="both"/>
        <w:rPr>
          <w:rFonts w:ascii="Arial" w:hAnsi="Arial" w:cs="Arial"/>
          <w:color w:val="000000"/>
          <w:sz w:val="20"/>
          <w:szCs w:val="20"/>
          <w:lang w:val="it-IT"/>
        </w:rPr>
      </w:pPr>
      <w:r w:rsidRPr="000E3929">
        <w:rPr>
          <w:rFonts w:ascii="Arial" w:hAnsi="Arial" w:cs="Arial"/>
          <w:color w:val="000000"/>
          <w:sz w:val="20"/>
          <w:szCs w:val="20"/>
          <w:lang w:val="it-IT"/>
        </w:rPr>
        <w:t xml:space="preserve">Ci sarà un piccolo numero di </w:t>
      </w:r>
      <w:r w:rsidR="00DC30A5">
        <w:rPr>
          <w:rFonts w:ascii="Arial" w:hAnsi="Arial" w:cs="Arial"/>
          <w:color w:val="000000"/>
          <w:sz w:val="20"/>
          <w:szCs w:val="20"/>
          <w:lang w:val="it-IT"/>
        </w:rPr>
        <w:t>contraenti</w:t>
      </w:r>
      <w:r w:rsidRPr="000E3929">
        <w:rPr>
          <w:rFonts w:ascii="Arial" w:hAnsi="Arial" w:cs="Arial"/>
          <w:color w:val="000000"/>
          <w:sz w:val="20"/>
          <w:szCs w:val="20"/>
          <w:lang w:val="it-IT"/>
        </w:rPr>
        <w:t xml:space="preserve"> per i quali si prevede che non sarà disponibile un fondo </w:t>
      </w:r>
      <w:r w:rsidR="00712419">
        <w:rPr>
          <w:rFonts w:ascii="Arial" w:hAnsi="Arial" w:cs="Arial"/>
          <w:color w:val="000000"/>
          <w:sz w:val="20"/>
          <w:szCs w:val="20"/>
          <w:lang w:val="it-IT"/>
        </w:rPr>
        <w:t>unit linked sostitutivo</w:t>
      </w:r>
      <w:r w:rsidRPr="000E3929">
        <w:rPr>
          <w:rFonts w:ascii="Arial" w:hAnsi="Arial" w:cs="Arial"/>
          <w:color w:val="000000"/>
          <w:sz w:val="20"/>
          <w:szCs w:val="20"/>
          <w:lang w:val="it-IT"/>
        </w:rPr>
        <w:t xml:space="preserve">. Sono in corso le relative attività per comunicare direttamente con questa categoria di </w:t>
      </w:r>
      <w:r w:rsidR="00DC30A5">
        <w:rPr>
          <w:rFonts w:ascii="Arial" w:hAnsi="Arial" w:cs="Arial"/>
          <w:color w:val="000000"/>
          <w:sz w:val="20"/>
          <w:szCs w:val="20"/>
          <w:lang w:val="it-IT"/>
        </w:rPr>
        <w:t>contraenti</w:t>
      </w:r>
      <w:r w:rsidRPr="000E3929">
        <w:rPr>
          <w:rFonts w:ascii="Arial" w:hAnsi="Arial" w:cs="Arial"/>
          <w:color w:val="000000"/>
          <w:sz w:val="20"/>
          <w:szCs w:val="20"/>
          <w:lang w:val="it-IT"/>
        </w:rPr>
        <w:t xml:space="preserve"> prima del trasferimento, in modo da garantire che i loro interessi continuino ad essere soddisfatti con scelte di investimento adeguate</w:t>
      </w:r>
      <w:r w:rsidR="003829D9" w:rsidRPr="00656794">
        <w:rPr>
          <w:rFonts w:ascii="Arial" w:hAnsi="Arial" w:cs="Arial"/>
          <w:color w:val="000000"/>
          <w:sz w:val="20"/>
          <w:szCs w:val="20"/>
          <w:lang w:val="it-IT"/>
        </w:rPr>
        <w:t>.</w:t>
      </w:r>
    </w:p>
    <w:p w14:paraId="39240B09" w14:textId="0E826F96" w:rsidR="003829D9" w:rsidRPr="00656794" w:rsidRDefault="003829D9" w:rsidP="003829D9">
      <w:pPr>
        <w:pStyle w:val="NormalWeb"/>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Mi è stata fornita un</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analisi che illustra 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 xml:space="preserve">impatto sulla scelta del fondo per </w:t>
      </w:r>
      <w:r w:rsidR="00236DFA">
        <w:rPr>
          <w:rFonts w:ascii="Arial" w:hAnsi="Arial" w:cs="Arial"/>
          <w:i/>
          <w:iCs/>
          <w:color w:val="000000"/>
          <w:sz w:val="20"/>
          <w:szCs w:val="20"/>
          <w:lang w:val="it-IT"/>
        </w:rPr>
        <w:t>i</w:t>
      </w:r>
      <w:r w:rsidR="00236DFA" w:rsidRPr="00656794">
        <w:rPr>
          <w:rFonts w:ascii="Arial" w:hAnsi="Arial" w:cs="Arial"/>
          <w:i/>
          <w:iCs/>
          <w:color w:val="000000"/>
          <w:sz w:val="20"/>
          <w:szCs w:val="20"/>
          <w:lang w:val="it-IT"/>
        </w:rPr>
        <w:t xml:space="preserve"> </w:t>
      </w:r>
      <w:r w:rsidR="00DC30A5">
        <w:rPr>
          <w:rFonts w:ascii="Arial" w:hAnsi="Arial" w:cs="Arial"/>
          <w:i/>
          <w:iCs/>
          <w:color w:val="000000"/>
          <w:sz w:val="20"/>
          <w:szCs w:val="20"/>
          <w:lang w:val="it-IT"/>
        </w:rPr>
        <w:t>contraenti</w:t>
      </w:r>
      <w:r w:rsidRPr="00656794">
        <w:rPr>
          <w:rFonts w:ascii="Arial" w:hAnsi="Arial" w:cs="Arial"/>
          <w:i/>
          <w:iCs/>
          <w:color w:val="000000"/>
          <w:sz w:val="20"/>
          <w:szCs w:val="20"/>
          <w:lang w:val="it-IT"/>
        </w:rPr>
        <w:t xml:space="preserve"> </w:t>
      </w:r>
      <w:r w:rsidR="008A525A" w:rsidRPr="00656794">
        <w:rPr>
          <w:rFonts w:ascii="Arial" w:hAnsi="Arial" w:cs="Arial"/>
          <w:i/>
          <w:iCs/>
          <w:color w:val="000000"/>
          <w:sz w:val="20"/>
          <w:szCs w:val="20"/>
          <w:lang w:val="it-IT"/>
        </w:rPr>
        <w:t>unit-linked</w:t>
      </w:r>
      <w:r w:rsidRPr="00656794">
        <w:rPr>
          <w:rFonts w:ascii="Arial" w:hAnsi="Arial" w:cs="Arial"/>
          <w:i/>
          <w:iCs/>
          <w:color w:val="000000"/>
          <w:sz w:val="20"/>
          <w:szCs w:val="20"/>
          <w:lang w:val="it-IT"/>
        </w:rPr>
        <w:t xml:space="preserve"> italiani in trasferimento. Laddove 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 xml:space="preserve">attuale offerta di fondi non possa essere offerta dopo </w:t>
      </w:r>
      <w:r w:rsidR="00F470FD">
        <w:rPr>
          <w:rFonts w:ascii="Arial" w:hAnsi="Arial" w:cs="Arial"/>
          <w:i/>
          <w:iCs/>
          <w:color w:val="000000"/>
          <w:sz w:val="20"/>
          <w:szCs w:val="20"/>
          <w:lang w:val="it-IT"/>
        </w:rPr>
        <w:t>l’</w:t>
      </w:r>
      <w:r w:rsidR="00AE4256">
        <w:rPr>
          <w:rFonts w:ascii="Arial" w:hAnsi="Arial" w:cs="Arial"/>
          <w:i/>
          <w:iCs/>
          <w:color w:val="000000"/>
          <w:sz w:val="20"/>
          <w:szCs w:val="20"/>
          <w:lang w:val="it-IT"/>
        </w:rPr>
        <w:t>Atto di Trasferimento</w:t>
      </w:r>
      <w:r w:rsidRPr="00656794">
        <w:rPr>
          <w:rFonts w:ascii="Arial" w:hAnsi="Arial" w:cs="Arial"/>
          <w:i/>
          <w:iCs/>
          <w:color w:val="000000"/>
          <w:sz w:val="20"/>
          <w:szCs w:val="20"/>
          <w:lang w:val="it-IT"/>
        </w:rPr>
        <w:t xml:space="preserve">, saranno rese disponibili opzioni di fondi alternativi, concordate con </w:t>
      </w:r>
      <w:r w:rsidR="00236DFA">
        <w:rPr>
          <w:rFonts w:ascii="Arial" w:hAnsi="Arial" w:cs="Arial"/>
          <w:i/>
          <w:iCs/>
          <w:color w:val="000000"/>
          <w:sz w:val="20"/>
          <w:szCs w:val="20"/>
          <w:lang w:val="it-IT"/>
        </w:rPr>
        <w:t>i</w:t>
      </w:r>
      <w:r w:rsidR="00236DFA" w:rsidRPr="00656794">
        <w:rPr>
          <w:rFonts w:ascii="Arial" w:hAnsi="Arial" w:cs="Arial"/>
          <w:i/>
          <w:iCs/>
          <w:color w:val="000000"/>
          <w:sz w:val="20"/>
          <w:szCs w:val="20"/>
          <w:lang w:val="it-IT"/>
        </w:rPr>
        <w:t xml:space="preserve"> </w:t>
      </w:r>
      <w:r w:rsidR="00DC30A5">
        <w:rPr>
          <w:rFonts w:ascii="Arial" w:hAnsi="Arial" w:cs="Arial"/>
          <w:i/>
          <w:iCs/>
          <w:color w:val="000000"/>
          <w:sz w:val="20"/>
          <w:szCs w:val="20"/>
          <w:lang w:val="it-IT"/>
        </w:rPr>
        <w:t>contraenti</w:t>
      </w:r>
      <w:r w:rsidRPr="00656794">
        <w:rPr>
          <w:rFonts w:ascii="Arial" w:hAnsi="Arial" w:cs="Arial"/>
          <w:i/>
          <w:iCs/>
          <w:color w:val="000000"/>
          <w:sz w:val="20"/>
          <w:szCs w:val="20"/>
          <w:lang w:val="it-IT"/>
        </w:rPr>
        <w:t xml:space="preserve"> e implementate prima del</w:t>
      </w:r>
      <w:r w:rsidR="00F470FD">
        <w:rPr>
          <w:rFonts w:ascii="Arial" w:hAnsi="Arial" w:cs="Arial"/>
          <w:i/>
          <w:iCs/>
          <w:color w:val="000000"/>
          <w:sz w:val="20"/>
          <w:szCs w:val="20"/>
          <w:lang w:val="it-IT"/>
        </w:rPr>
        <w:t>l’</w:t>
      </w:r>
      <w:r w:rsidR="00AE4256">
        <w:rPr>
          <w:rFonts w:ascii="Arial" w:hAnsi="Arial" w:cs="Arial"/>
          <w:i/>
          <w:iCs/>
          <w:color w:val="000000"/>
          <w:sz w:val="20"/>
          <w:szCs w:val="20"/>
          <w:lang w:val="it-IT"/>
        </w:rPr>
        <w:t>Atto di Trasferimento</w:t>
      </w:r>
      <w:r w:rsidRPr="00656794">
        <w:rPr>
          <w:rFonts w:ascii="Arial" w:hAnsi="Arial" w:cs="Arial"/>
          <w:i/>
          <w:iCs/>
          <w:color w:val="000000"/>
          <w:sz w:val="20"/>
          <w:szCs w:val="20"/>
          <w:lang w:val="it-IT"/>
        </w:rPr>
        <w:t>. con le aspettative ragionevoli del contraente e i termini e le condizioni della polizza.</w:t>
      </w:r>
    </w:p>
    <w:p w14:paraId="5678F190" w14:textId="5A4F0D62" w:rsidR="00110501" w:rsidRPr="00656794" w:rsidRDefault="003829D9" w:rsidP="003829D9">
      <w:pPr>
        <w:pStyle w:val="NormalWeb"/>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Mi aspetto che venga concordata una risoluzione soddisfacente prima del</w:t>
      </w:r>
      <w:r w:rsidR="00F470FD">
        <w:rPr>
          <w:rFonts w:ascii="Arial" w:hAnsi="Arial" w:cs="Arial"/>
          <w:i/>
          <w:iCs/>
          <w:color w:val="000000"/>
          <w:sz w:val="20"/>
          <w:szCs w:val="20"/>
          <w:lang w:val="it-IT"/>
        </w:rPr>
        <w:t>l’</w:t>
      </w:r>
      <w:r w:rsidR="00AE4256">
        <w:rPr>
          <w:rFonts w:ascii="Arial" w:hAnsi="Arial" w:cs="Arial"/>
          <w:i/>
          <w:iCs/>
          <w:color w:val="000000"/>
          <w:sz w:val="20"/>
          <w:szCs w:val="20"/>
          <w:lang w:val="it-IT"/>
        </w:rPr>
        <w:t>Atto di Trasferimento</w:t>
      </w:r>
      <w:r w:rsidRPr="00656794">
        <w:rPr>
          <w:rFonts w:ascii="Arial" w:hAnsi="Arial" w:cs="Arial"/>
          <w:i/>
          <w:iCs/>
          <w:color w:val="000000"/>
          <w:sz w:val="20"/>
          <w:szCs w:val="20"/>
          <w:lang w:val="it-IT"/>
        </w:rPr>
        <w:t xml:space="preserve"> per tutti </w:t>
      </w:r>
      <w:r w:rsidR="00236DFA">
        <w:rPr>
          <w:rFonts w:ascii="Arial" w:hAnsi="Arial" w:cs="Arial"/>
          <w:i/>
          <w:iCs/>
          <w:color w:val="000000"/>
          <w:sz w:val="20"/>
          <w:szCs w:val="20"/>
          <w:lang w:val="it-IT"/>
        </w:rPr>
        <w:t>i</w:t>
      </w:r>
      <w:r w:rsidR="00236DFA" w:rsidRPr="00656794">
        <w:rPr>
          <w:rFonts w:ascii="Arial" w:hAnsi="Arial" w:cs="Arial"/>
          <w:i/>
          <w:iCs/>
          <w:color w:val="000000"/>
          <w:sz w:val="20"/>
          <w:szCs w:val="20"/>
          <w:lang w:val="it-IT"/>
        </w:rPr>
        <w:t xml:space="preserve"> </w:t>
      </w:r>
      <w:r w:rsidR="00DC30A5">
        <w:rPr>
          <w:rFonts w:ascii="Arial" w:hAnsi="Arial" w:cs="Arial"/>
          <w:i/>
          <w:iCs/>
          <w:color w:val="000000"/>
          <w:sz w:val="20"/>
          <w:szCs w:val="20"/>
          <w:lang w:val="it-IT"/>
        </w:rPr>
        <w:t>contraenti</w:t>
      </w:r>
      <w:r w:rsidRPr="00656794">
        <w:rPr>
          <w:rFonts w:ascii="Arial" w:hAnsi="Arial" w:cs="Arial"/>
          <w:i/>
          <w:iCs/>
          <w:color w:val="000000"/>
          <w:sz w:val="20"/>
          <w:szCs w:val="20"/>
          <w:lang w:val="it-IT"/>
        </w:rPr>
        <w:t xml:space="preserve">. </w:t>
      </w:r>
    </w:p>
    <w:p w14:paraId="36C83AE0" w14:textId="7AA992FD"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338D"/>
          <w:lang w:val="it-IT"/>
        </w:rPr>
        <w:t>8.2.4 Diritto alle prestazioni</w:t>
      </w:r>
    </w:p>
    <w:p w14:paraId="3A877EB7" w14:textId="65B37618" w:rsidR="003829D9" w:rsidRPr="00656794" w:rsidRDefault="007A2D98" w:rsidP="003829D9">
      <w:pPr>
        <w:pStyle w:val="NormalWeb"/>
        <w:ind w:right="102"/>
        <w:jc w:val="both"/>
        <w:rPr>
          <w:rFonts w:ascii="Arial" w:hAnsi="Arial" w:cs="Arial"/>
          <w:color w:val="000000"/>
          <w:sz w:val="20"/>
          <w:szCs w:val="20"/>
          <w:lang w:val="it-IT"/>
        </w:rPr>
      </w:pPr>
      <w:r>
        <w:rPr>
          <w:rFonts w:ascii="Arial" w:hAnsi="Arial" w:cs="Arial"/>
          <w:color w:val="000000"/>
          <w:sz w:val="20"/>
          <w:szCs w:val="20"/>
          <w:lang w:val="it-IT"/>
        </w:rPr>
        <w:t>L</w:t>
      </w:r>
      <w:r w:rsidR="000E3929" w:rsidRPr="000E3929">
        <w:rPr>
          <w:rFonts w:ascii="Arial" w:hAnsi="Arial" w:cs="Arial"/>
          <w:color w:val="000000"/>
          <w:sz w:val="20"/>
          <w:szCs w:val="20"/>
          <w:lang w:val="it-IT"/>
        </w:rPr>
        <w:t>e pratiche esistenti in materia di riscatto, scadenza, trasferimento o decesso rimarranno in vigore dopo il trasferimento. I reclami che sono risolti nell’ambito del normale svolgimento dell’attività saranno trattati allo stesso modo dopo il trasferimento</w:t>
      </w:r>
      <w:r w:rsidR="003829D9" w:rsidRPr="00656794">
        <w:rPr>
          <w:rFonts w:ascii="Arial" w:hAnsi="Arial" w:cs="Arial"/>
          <w:color w:val="000000"/>
          <w:sz w:val="20"/>
          <w:szCs w:val="20"/>
          <w:lang w:val="it-IT"/>
        </w:rPr>
        <w:t>.</w:t>
      </w:r>
    </w:p>
    <w:p w14:paraId="7B14F610" w14:textId="5E896B62" w:rsidR="003829D9" w:rsidRPr="00656794" w:rsidRDefault="003829D9" w:rsidP="003829D9">
      <w:pPr>
        <w:pStyle w:val="NormalWeb"/>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Pertanto, a mio avviso, 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attuazione del</w:t>
      </w:r>
      <w:r w:rsidR="00F470FD">
        <w:rPr>
          <w:rFonts w:ascii="Arial" w:hAnsi="Arial" w:cs="Arial"/>
          <w:i/>
          <w:iCs/>
          <w:color w:val="000000"/>
          <w:sz w:val="20"/>
          <w:szCs w:val="20"/>
          <w:lang w:val="it-IT"/>
        </w:rPr>
        <w:t>l’</w:t>
      </w:r>
      <w:r w:rsidR="00AE4256">
        <w:rPr>
          <w:rFonts w:ascii="Arial" w:hAnsi="Arial" w:cs="Arial"/>
          <w:i/>
          <w:iCs/>
          <w:color w:val="000000"/>
          <w:sz w:val="20"/>
          <w:szCs w:val="20"/>
          <w:lang w:val="it-IT"/>
        </w:rPr>
        <w:t>Atto di Trasferimento</w:t>
      </w:r>
      <w:r w:rsidRPr="00656794">
        <w:rPr>
          <w:rFonts w:ascii="Arial" w:hAnsi="Arial" w:cs="Arial"/>
          <w:i/>
          <w:iCs/>
          <w:color w:val="000000"/>
          <w:sz w:val="20"/>
          <w:szCs w:val="20"/>
          <w:lang w:val="it-IT"/>
        </w:rPr>
        <w:t xml:space="preserve"> non avrà un effetto negativo sul trattamento equo </w:t>
      </w:r>
      <w:r w:rsidR="00236DFA">
        <w:rPr>
          <w:rFonts w:ascii="Arial" w:hAnsi="Arial" w:cs="Arial"/>
          <w:i/>
          <w:iCs/>
          <w:color w:val="000000"/>
          <w:sz w:val="20"/>
          <w:szCs w:val="20"/>
          <w:lang w:val="it-IT"/>
        </w:rPr>
        <w:t>dei</w:t>
      </w:r>
      <w:r w:rsidR="00236DFA" w:rsidRPr="00656794">
        <w:rPr>
          <w:rFonts w:ascii="Arial" w:hAnsi="Arial" w:cs="Arial"/>
          <w:i/>
          <w:iCs/>
          <w:color w:val="000000"/>
          <w:sz w:val="20"/>
          <w:szCs w:val="20"/>
          <w:lang w:val="it-IT"/>
        </w:rPr>
        <w:t xml:space="preserve"> </w:t>
      </w:r>
      <w:r w:rsidR="00DC30A5">
        <w:rPr>
          <w:rFonts w:ascii="Arial" w:hAnsi="Arial" w:cs="Arial"/>
          <w:i/>
          <w:iCs/>
          <w:color w:val="000000"/>
          <w:sz w:val="20"/>
          <w:szCs w:val="20"/>
          <w:lang w:val="it-IT"/>
        </w:rPr>
        <w:t>contraenti</w:t>
      </w:r>
      <w:r w:rsidRPr="00656794">
        <w:rPr>
          <w:rFonts w:ascii="Arial" w:hAnsi="Arial" w:cs="Arial"/>
          <w:i/>
          <w:iCs/>
          <w:color w:val="000000"/>
          <w:sz w:val="20"/>
          <w:szCs w:val="20"/>
          <w:lang w:val="it-IT"/>
        </w:rPr>
        <w:t xml:space="preserve"> a questo riguardo.</w:t>
      </w:r>
    </w:p>
    <w:p w14:paraId="6E30BDDE" w14:textId="58E96E22"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 xml:space="preserve">8.2.5 </w:t>
      </w:r>
      <w:r w:rsidR="0094302E">
        <w:rPr>
          <w:rFonts w:ascii="Arial" w:hAnsi="Arial" w:cs="Arial"/>
          <w:color w:val="00338D"/>
          <w:lang w:val="it-IT"/>
        </w:rPr>
        <w:t>Condizioni contrattuali</w:t>
      </w:r>
      <w:r w:rsidRPr="00656794">
        <w:rPr>
          <w:rFonts w:ascii="Arial" w:hAnsi="Arial" w:cs="Arial"/>
          <w:color w:val="00338D"/>
          <w:lang w:val="it-IT"/>
        </w:rPr>
        <w:t xml:space="preserve"> della polizza</w:t>
      </w:r>
    </w:p>
    <w:p w14:paraId="5EF0E9CE" w14:textId="55696A49"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Prendo atto che i termini e le condizioni della polizza non dovrebbero cambiare come parte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5B465CED" w14:textId="7E0974DF"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Tuttavia, prendo atto che saranno necessarie modifiche ad alcun</w:t>
      </w:r>
      <w:r w:rsidR="0094302E">
        <w:rPr>
          <w:rFonts w:ascii="Arial" w:hAnsi="Arial" w:cs="Arial"/>
          <w:color w:val="000000"/>
          <w:sz w:val="20"/>
          <w:szCs w:val="20"/>
          <w:lang w:val="it-IT"/>
        </w:rPr>
        <w:t>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relativ</w:t>
      </w:r>
      <w:r w:rsidR="0094302E">
        <w:rPr>
          <w:rFonts w:ascii="Arial" w:hAnsi="Arial" w:cs="Arial"/>
          <w:color w:val="000000"/>
          <w:sz w:val="20"/>
          <w:szCs w:val="20"/>
          <w:lang w:val="it-IT"/>
        </w:rPr>
        <w:t>e</w:t>
      </w:r>
      <w:r w:rsidRPr="00656794">
        <w:rPr>
          <w:rFonts w:ascii="Arial" w:hAnsi="Arial" w:cs="Arial"/>
          <w:color w:val="000000"/>
          <w:sz w:val="20"/>
          <w:szCs w:val="20"/>
          <w:lang w:val="it-IT"/>
        </w:rPr>
        <w:t xml:space="preserve"> a due dei prodotti della libertà di servizi per renderli compatibili con la normativa italiana locale prima del trasferimento del portafoglio. La classificazione dei fondi delle quote ne</w:t>
      </w:r>
      <w:r w:rsidR="0094302E">
        <w:rPr>
          <w:rFonts w:ascii="Arial" w:hAnsi="Arial" w:cs="Arial"/>
          <w:color w:val="000000"/>
          <w:sz w:val="20"/>
          <w:szCs w:val="20"/>
          <w:lang w:val="it-IT"/>
        </w:rPr>
        <w:t>lle</w:t>
      </w:r>
      <w:r w:rsidRPr="00656794">
        <w:rPr>
          <w:rFonts w:ascii="Arial" w:hAnsi="Arial" w:cs="Arial"/>
          <w:color w:val="000000"/>
          <w:sz w:val="20"/>
          <w:szCs w:val="20"/>
          <w:lang w:val="it-IT"/>
        </w:rPr>
        <w:t xml:space="preserve"> </w:t>
      </w:r>
      <w:r w:rsidR="0094302E">
        <w:rPr>
          <w:rFonts w:ascii="Arial" w:hAnsi="Arial" w:cs="Arial"/>
          <w:color w:val="000000"/>
          <w:sz w:val="20"/>
          <w:szCs w:val="20"/>
          <w:lang w:val="it-IT"/>
        </w:rPr>
        <w:t>Condizioni contrattuali</w:t>
      </w:r>
      <w:r w:rsidRPr="00656794">
        <w:rPr>
          <w:rFonts w:ascii="Arial" w:hAnsi="Arial" w:cs="Arial"/>
          <w:color w:val="000000"/>
          <w:sz w:val="20"/>
          <w:szCs w:val="20"/>
          <w:lang w:val="it-IT"/>
        </w:rPr>
        <w:t xml:space="preserve"> cambierà da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fondi interni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fondi esterni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ZLAP ridurrà la sua commissione di gestione come parte di questo cambiamento.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si troveranno in una posizione migliore dopo questo cambiamento in quanto avranno oneri inferiori. Non vi sarà alcun impatto economico per </w:t>
      </w:r>
      <w:r w:rsidR="000640ED">
        <w:rPr>
          <w:rFonts w:ascii="Arial" w:hAnsi="Arial" w:cs="Arial"/>
          <w:color w:val="000000"/>
          <w:sz w:val="20"/>
          <w:szCs w:val="20"/>
          <w:lang w:val="it-IT"/>
        </w:rPr>
        <w:t>il contraente</w:t>
      </w:r>
      <w:r w:rsidRPr="00656794">
        <w:rPr>
          <w:rFonts w:ascii="Arial" w:hAnsi="Arial" w:cs="Arial"/>
          <w:color w:val="000000"/>
          <w:sz w:val="20"/>
          <w:szCs w:val="20"/>
          <w:lang w:val="it-IT"/>
        </w:rPr>
        <w:t xml:space="preserve"> e le modifiche previste sono di natura puramente tecnica.</w:t>
      </w:r>
    </w:p>
    <w:p w14:paraId="3567C8D0" w14:textId="7D21737D" w:rsidR="003829D9" w:rsidRPr="00656794" w:rsidRDefault="003829D9" w:rsidP="003829D9">
      <w:pPr>
        <w:pStyle w:val="NormalWeb"/>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 xml:space="preserve">Lo prendo nota per completezza, ma poiché accade prima </w:t>
      </w:r>
      <w:r w:rsidR="005B7BBB" w:rsidRPr="00656794">
        <w:rPr>
          <w:rFonts w:ascii="Arial" w:hAnsi="Arial" w:cs="Arial"/>
          <w:i/>
          <w:iCs/>
          <w:color w:val="000000"/>
          <w:sz w:val="20"/>
          <w:szCs w:val="20"/>
          <w:lang w:val="it-IT"/>
        </w:rPr>
        <w:t>del</w:t>
      </w:r>
      <w:r w:rsidR="00F470FD">
        <w:rPr>
          <w:rFonts w:ascii="Arial" w:hAnsi="Arial" w:cs="Arial"/>
          <w:i/>
          <w:iCs/>
          <w:color w:val="000000"/>
          <w:sz w:val="20"/>
          <w:szCs w:val="20"/>
          <w:lang w:val="it-IT"/>
        </w:rPr>
        <w:t>l’</w:t>
      </w:r>
      <w:r w:rsidR="00AE4256">
        <w:rPr>
          <w:rFonts w:ascii="Arial" w:hAnsi="Arial" w:cs="Arial"/>
          <w:i/>
          <w:iCs/>
          <w:color w:val="000000"/>
          <w:sz w:val="20"/>
          <w:szCs w:val="20"/>
          <w:lang w:val="it-IT"/>
        </w:rPr>
        <w:t>Atto di Trasferimento</w:t>
      </w:r>
      <w:r w:rsidRPr="00656794">
        <w:rPr>
          <w:rFonts w:ascii="Arial" w:hAnsi="Arial" w:cs="Arial"/>
          <w:i/>
          <w:iCs/>
          <w:color w:val="000000"/>
          <w:sz w:val="20"/>
          <w:szCs w:val="20"/>
          <w:lang w:val="it-IT"/>
        </w:rPr>
        <w:t xml:space="preserve">, è al di fuori del mio ambito formale. Presumo che non sorgano questioni specifiche in relazione a questa specifica modifica e prendo atto che </w:t>
      </w:r>
      <w:r w:rsidR="00236DFA">
        <w:rPr>
          <w:rFonts w:ascii="Arial" w:hAnsi="Arial" w:cs="Arial"/>
          <w:i/>
          <w:iCs/>
          <w:color w:val="000000"/>
          <w:sz w:val="20"/>
          <w:szCs w:val="20"/>
          <w:lang w:val="it-IT"/>
        </w:rPr>
        <w:t>i</w:t>
      </w:r>
      <w:r w:rsidR="00236DFA" w:rsidRPr="00656794">
        <w:rPr>
          <w:rFonts w:ascii="Arial" w:hAnsi="Arial" w:cs="Arial"/>
          <w:i/>
          <w:iCs/>
          <w:color w:val="000000"/>
          <w:sz w:val="20"/>
          <w:szCs w:val="20"/>
          <w:lang w:val="it-IT"/>
        </w:rPr>
        <w:t xml:space="preserve"> </w:t>
      </w:r>
      <w:r w:rsidR="00DC30A5">
        <w:rPr>
          <w:rFonts w:ascii="Arial" w:hAnsi="Arial" w:cs="Arial"/>
          <w:i/>
          <w:iCs/>
          <w:color w:val="000000"/>
          <w:sz w:val="20"/>
          <w:szCs w:val="20"/>
          <w:lang w:val="it-IT"/>
        </w:rPr>
        <w:t>contraenti</w:t>
      </w:r>
      <w:r w:rsidRPr="00656794">
        <w:rPr>
          <w:rFonts w:ascii="Arial" w:hAnsi="Arial" w:cs="Arial"/>
          <w:i/>
          <w:iCs/>
          <w:color w:val="000000"/>
          <w:sz w:val="20"/>
          <w:szCs w:val="20"/>
          <w:lang w:val="it-IT"/>
        </w:rPr>
        <w:t xml:space="preserve"> verranno informati in merito a tale questione. La mia ipotesi è che non sorgono problemi dall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attuazione del cambiamento.</w:t>
      </w:r>
    </w:p>
    <w:p w14:paraId="698FAFCC" w14:textId="77777777" w:rsidR="003829D9" w:rsidRPr="00656794" w:rsidRDefault="003829D9" w:rsidP="003829D9">
      <w:pPr>
        <w:pStyle w:val="NormalWeb"/>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Nel complesso, non ho problemi da segnalare.</w:t>
      </w:r>
    </w:p>
    <w:p w14:paraId="485815F4" w14:textId="77777777"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8.2.6 Spese</w:t>
      </w:r>
    </w:p>
    <w:p w14:paraId="764EFA3E" w14:textId="22A4019C"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Gli oneri, inclusi eventuali rimborsi del fondo, rimarranno invariati come conseguenza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per tutti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w:t>
      </w:r>
    </w:p>
    <w:p w14:paraId="4EE31D1A" w14:textId="77777777" w:rsidR="003829D9" w:rsidRPr="00656794" w:rsidRDefault="003829D9" w:rsidP="003829D9">
      <w:pPr>
        <w:pStyle w:val="NormalWeb"/>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Nel complesso, non ho problemi da segnalare.</w:t>
      </w:r>
    </w:p>
    <w:p w14:paraId="79E03C98" w14:textId="59B5C452"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8.2.7 Costi del</w:t>
      </w:r>
      <w:r w:rsidR="00F470FD">
        <w:rPr>
          <w:rFonts w:ascii="Arial" w:hAnsi="Arial" w:cs="Arial"/>
          <w:color w:val="00338D"/>
          <w:lang w:val="it-IT"/>
        </w:rPr>
        <w:t>l’</w:t>
      </w:r>
      <w:r w:rsidR="00AE4256">
        <w:rPr>
          <w:rFonts w:ascii="Arial" w:hAnsi="Arial" w:cs="Arial"/>
          <w:color w:val="00338D"/>
          <w:lang w:val="it-IT"/>
        </w:rPr>
        <w:t>Atto di Trasferimento</w:t>
      </w:r>
    </w:p>
    <w:p w14:paraId="2A817E5E" w14:textId="0B429468"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lastRenderedPageBreak/>
        <w:t xml:space="preserve">Tutti i costi associati alla Proposta di Trasferimento saranno a carico di ZLAP e ZIL. Nessun costo sarà a carico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w:t>
      </w:r>
    </w:p>
    <w:p w14:paraId="44D9AC66" w14:textId="71DBAE4B" w:rsidR="003829D9" w:rsidRPr="00656794" w:rsidRDefault="003829D9" w:rsidP="003829D9">
      <w:pPr>
        <w:pStyle w:val="NormalWeb"/>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Pertanto, a mio avviso, 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attuazione del</w:t>
      </w:r>
      <w:r w:rsidR="00F470FD">
        <w:rPr>
          <w:rFonts w:ascii="Arial" w:hAnsi="Arial" w:cs="Arial"/>
          <w:i/>
          <w:iCs/>
          <w:color w:val="000000"/>
          <w:sz w:val="20"/>
          <w:szCs w:val="20"/>
          <w:lang w:val="it-IT"/>
        </w:rPr>
        <w:t>l’</w:t>
      </w:r>
      <w:r w:rsidR="00AE4256">
        <w:rPr>
          <w:rFonts w:ascii="Arial" w:hAnsi="Arial" w:cs="Arial"/>
          <w:i/>
          <w:iCs/>
          <w:color w:val="000000"/>
          <w:sz w:val="20"/>
          <w:szCs w:val="20"/>
          <w:lang w:val="it-IT"/>
        </w:rPr>
        <w:t>Atto di Trasferimento</w:t>
      </w:r>
      <w:r w:rsidRPr="00656794">
        <w:rPr>
          <w:rFonts w:ascii="Arial" w:hAnsi="Arial" w:cs="Arial"/>
          <w:i/>
          <w:iCs/>
          <w:color w:val="000000"/>
          <w:sz w:val="20"/>
          <w:szCs w:val="20"/>
          <w:lang w:val="it-IT"/>
        </w:rPr>
        <w:t xml:space="preserve"> non avrà un effetto negativo sul trattamento equo </w:t>
      </w:r>
      <w:r w:rsidR="00236DFA">
        <w:rPr>
          <w:rFonts w:ascii="Arial" w:hAnsi="Arial" w:cs="Arial"/>
          <w:i/>
          <w:iCs/>
          <w:color w:val="000000"/>
          <w:sz w:val="20"/>
          <w:szCs w:val="20"/>
          <w:lang w:val="it-IT"/>
        </w:rPr>
        <w:t>dei</w:t>
      </w:r>
      <w:r w:rsidR="00236DFA" w:rsidRPr="00656794">
        <w:rPr>
          <w:rFonts w:ascii="Arial" w:hAnsi="Arial" w:cs="Arial"/>
          <w:i/>
          <w:iCs/>
          <w:color w:val="000000"/>
          <w:sz w:val="20"/>
          <w:szCs w:val="20"/>
          <w:lang w:val="it-IT"/>
        </w:rPr>
        <w:t xml:space="preserve"> </w:t>
      </w:r>
      <w:r w:rsidR="00DC30A5">
        <w:rPr>
          <w:rFonts w:ascii="Arial" w:hAnsi="Arial" w:cs="Arial"/>
          <w:i/>
          <w:iCs/>
          <w:color w:val="000000"/>
          <w:sz w:val="20"/>
          <w:szCs w:val="20"/>
          <w:lang w:val="it-IT"/>
        </w:rPr>
        <w:t>contraenti</w:t>
      </w:r>
      <w:r w:rsidRPr="00656794">
        <w:rPr>
          <w:rFonts w:ascii="Arial" w:hAnsi="Arial" w:cs="Arial"/>
          <w:i/>
          <w:iCs/>
          <w:color w:val="000000"/>
          <w:sz w:val="20"/>
          <w:szCs w:val="20"/>
          <w:lang w:val="it-IT"/>
        </w:rPr>
        <w:t xml:space="preserve"> a questo riguardo. Non ho problemi specifici da notare.</w:t>
      </w:r>
    </w:p>
    <w:p w14:paraId="6DB78D22" w14:textId="77777777"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8.2.8 Discrezione</w:t>
      </w:r>
    </w:p>
    <w:p w14:paraId="35AE4784" w14:textId="2BA39AD7"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Le aree in cui il management di ZLAP può applicare discrezionalità rispetto alla gestione delle polizze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italiane sono limitate.</w:t>
      </w:r>
    </w:p>
    <w:p w14:paraId="3650324A" w14:textId="77777777" w:rsidR="00390CF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Gli oneri riscossi e le prestazioni fornite sono indicati nelle condizioni contrattuali del contraente; </w:t>
      </w:r>
    </w:p>
    <w:p w14:paraId="5CA25E77" w14:textId="77777777" w:rsidR="00D01637"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I prezzi unitari sono forniti direttamente da società di fondi esterne e non sono calcolati internamente;</w:t>
      </w:r>
    </w:p>
    <w:p w14:paraId="79FA57A9" w14:textId="5C0EEB3F"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I prodotti sono unit-linked con addebiti definiti per il documento di polizza - gli addebiti non sono </w:t>
      </w:r>
      <w:r w:rsidR="00212B92" w:rsidRPr="00656794">
        <w:rPr>
          <w:rFonts w:ascii="Arial" w:hAnsi="Arial" w:cs="Arial"/>
          <w:color w:val="000000"/>
          <w:sz w:val="20"/>
          <w:szCs w:val="20"/>
          <w:lang w:val="it-IT"/>
        </w:rPr>
        <w:t>revisionabili; quindi,</w:t>
      </w:r>
      <w:r w:rsidRPr="00656794">
        <w:rPr>
          <w:rFonts w:ascii="Arial" w:hAnsi="Arial" w:cs="Arial"/>
          <w:color w:val="000000"/>
          <w:sz w:val="20"/>
          <w:szCs w:val="20"/>
          <w:lang w:val="it-IT"/>
        </w:rPr>
        <w:t xml:space="preserve"> non c</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è discrezionalità dal lato degli addebiti; e</w:t>
      </w:r>
    </w:p>
    <w:p w14:paraId="1401DDE4" w14:textId="3A73DA63" w:rsidR="003829D9" w:rsidRPr="00656794" w:rsidRDefault="003829D9" w:rsidP="003829D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I benefici in termini di rischio sui prodotti sono </w:t>
      </w:r>
      <w:r w:rsidR="00212B92" w:rsidRPr="00656794">
        <w:rPr>
          <w:rFonts w:ascii="Arial" w:hAnsi="Arial" w:cs="Arial"/>
          <w:color w:val="000000"/>
          <w:sz w:val="20"/>
          <w:szCs w:val="20"/>
          <w:lang w:val="it-IT"/>
        </w:rPr>
        <w:t>minimi; quindi,</w:t>
      </w:r>
      <w:r w:rsidRPr="00656794">
        <w:rPr>
          <w:rFonts w:ascii="Arial" w:hAnsi="Arial" w:cs="Arial"/>
          <w:color w:val="000000"/>
          <w:sz w:val="20"/>
          <w:szCs w:val="20"/>
          <w:lang w:val="it-IT"/>
        </w:rPr>
        <w:t xml:space="preserve"> la discrezionalità nel pagamento dei sinistri è molto limitata.</w:t>
      </w:r>
    </w:p>
    <w:p w14:paraId="26AA3218" w14:textId="6FC138FE" w:rsidR="003829D9" w:rsidRPr="00656794" w:rsidRDefault="003829D9" w:rsidP="003829D9">
      <w:pPr>
        <w:pStyle w:val="NormalWeb"/>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 xml:space="preserve">ZIL ha preso in considerazione tutte le aree di discrezionalità del management e ha confermato di volersi adoperare per mantenere le strutture e gli approcci esistenti. Pertanto, non emergono problemi di cui sono a conoscenza che possano avere un impatto negativo </w:t>
      </w:r>
      <w:r w:rsidR="00236DFA">
        <w:rPr>
          <w:rFonts w:ascii="Arial" w:hAnsi="Arial" w:cs="Arial"/>
          <w:i/>
          <w:iCs/>
          <w:color w:val="000000"/>
          <w:sz w:val="20"/>
          <w:szCs w:val="20"/>
          <w:lang w:val="it-IT"/>
        </w:rPr>
        <w:t>sui</w:t>
      </w:r>
      <w:r w:rsidR="00236DFA" w:rsidRPr="00656794">
        <w:rPr>
          <w:rFonts w:ascii="Arial" w:hAnsi="Arial" w:cs="Arial"/>
          <w:i/>
          <w:iCs/>
          <w:color w:val="000000"/>
          <w:sz w:val="20"/>
          <w:szCs w:val="20"/>
          <w:lang w:val="it-IT"/>
        </w:rPr>
        <w:t xml:space="preserve"> </w:t>
      </w:r>
      <w:r w:rsidR="00DC30A5">
        <w:rPr>
          <w:rFonts w:ascii="Arial" w:hAnsi="Arial" w:cs="Arial"/>
          <w:i/>
          <w:iCs/>
          <w:color w:val="000000"/>
          <w:sz w:val="20"/>
          <w:szCs w:val="20"/>
          <w:lang w:val="it-IT"/>
        </w:rPr>
        <w:t>contraenti</w:t>
      </w:r>
      <w:r w:rsidRPr="00656794">
        <w:rPr>
          <w:rFonts w:ascii="Arial" w:hAnsi="Arial" w:cs="Arial"/>
          <w:i/>
          <w:iCs/>
          <w:color w:val="000000"/>
          <w:sz w:val="20"/>
          <w:szCs w:val="20"/>
          <w:lang w:val="it-IT"/>
        </w:rPr>
        <w:t>.</w:t>
      </w:r>
    </w:p>
    <w:p w14:paraId="6A509A62" w14:textId="4F1884C0" w:rsidR="003829D9" w:rsidRPr="00656794" w:rsidRDefault="003829D9" w:rsidP="003829D9">
      <w:pPr>
        <w:pStyle w:val="NormalWeb"/>
        <w:ind w:right="102"/>
        <w:jc w:val="both"/>
        <w:rPr>
          <w:rFonts w:ascii="Arial" w:hAnsi="Arial" w:cs="Arial"/>
          <w:color w:val="00338D"/>
          <w:lang w:val="it-IT"/>
        </w:rPr>
      </w:pPr>
      <w:r w:rsidRPr="00656794">
        <w:rPr>
          <w:rFonts w:ascii="Arial" w:hAnsi="Arial" w:cs="Arial"/>
          <w:color w:val="00338D"/>
          <w:lang w:val="it-IT"/>
        </w:rPr>
        <w:t>8.2.9 Reclami e ri</w:t>
      </w:r>
      <w:r w:rsidR="00110501" w:rsidRPr="00656794">
        <w:rPr>
          <w:rFonts w:ascii="Arial" w:hAnsi="Arial" w:cs="Arial"/>
          <w:color w:val="00338D"/>
          <w:lang w:val="it-IT"/>
        </w:rPr>
        <w:t>sarcimenti</w:t>
      </w:r>
    </w:p>
    <w:p w14:paraId="24F97C61" w14:textId="691F55D3" w:rsidR="00215CE9" w:rsidRPr="00656794" w:rsidRDefault="003829D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Prendo atto che le procedure di trattamento dei reclami adottate da entrambi gli enti al </w:t>
      </w:r>
      <w:r w:rsidR="004B4F5A" w:rsidRPr="00656794">
        <w:rPr>
          <w:rFonts w:ascii="Arial" w:hAnsi="Arial" w:cs="Arial"/>
          <w:color w:val="000000"/>
          <w:sz w:val="20"/>
          <w:szCs w:val="20"/>
          <w:lang w:val="it-IT"/>
        </w:rPr>
        <w:t xml:space="preserve">momento </w:t>
      </w:r>
      <w:r w:rsidR="00215CE9" w:rsidRPr="00656794">
        <w:rPr>
          <w:rFonts w:ascii="Arial" w:hAnsi="Arial" w:cs="Arial"/>
          <w:color w:val="000000"/>
          <w:sz w:val="20"/>
          <w:szCs w:val="20"/>
          <w:lang w:val="it-IT"/>
        </w:rPr>
        <w:t>sono ben allineati. Per effetto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00215CE9" w:rsidRPr="00656794">
        <w:rPr>
          <w:rFonts w:ascii="Arial" w:hAnsi="Arial" w:cs="Arial"/>
          <w:color w:val="000000"/>
          <w:sz w:val="20"/>
          <w:szCs w:val="20"/>
          <w:lang w:val="it-IT"/>
        </w:rPr>
        <w:t xml:space="preserve"> non vi sono modifiche alla procedura di reclamo. Qualora </w:t>
      </w:r>
      <w:r w:rsidR="000640ED">
        <w:rPr>
          <w:rFonts w:ascii="Arial" w:hAnsi="Arial" w:cs="Arial"/>
          <w:color w:val="000000"/>
          <w:sz w:val="20"/>
          <w:szCs w:val="20"/>
          <w:lang w:val="it-IT"/>
        </w:rPr>
        <w:t>il contraente</w:t>
      </w:r>
      <w:r w:rsidR="00215CE9" w:rsidRPr="00656794">
        <w:rPr>
          <w:rFonts w:ascii="Arial" w:hAnsi="Arial" w:cs="Arial"/>
          <w:color w:val="000000"/>
          <w:sz w:val="20"/>
          <w:szCs w:val="20"/>
          <w:lang w:val="it-IT"/>
        </w:rPr>
        <w:t xml:space="preserve"> non sia soddisfatto, ha la possibilità di inoltrare il reclamo direttamente alla compagnia di assicurazione o direttamente all</w:t>
      </w:r>
      <w:r w:rsidR="00F23A40" w:rsidRPr="00656794">
        <w:rPr>
          <w:rFonts w:ascii="Arial" w:hAnsi="Arial" w:cs="Arial"/>
          <w:color w:val="000000"/>
          <w:sz w:val="20"/>
          <w:szCs w:val="20"/>
          <w:lang w:val="it-IT"/>
        </w:rPr>
        <w:t>’</w:t>
      </w:r>
      <w:r w:rsidR="00215CE9" w:rsidRPr="00656794">
        <w:rPr>
          <w:rFonts w:ascii="Arial" w:hAnsi="Arial" w:cs="Arial"/>
          <w:color w:val="000000"/>
          <w:sz w:val="20"/>
          <w:szCs w:val="20"/>
          <w:lang w:val="it-IT"/>
        </w:rPr>
        <w:t>IVASS o alla COVIP (la Commissione di vigilanza sui fondi pensione in Italia).</w:t>
      </w:r>
    </w:p>
    <w:p w14:paraId="12256245" w14:textId="264C4E7E" w:rsidR="00215CE9" w:rsidRPr="00656794" w:rsidRDefault="00215CE9" w:rsidP="00215CE9">
      <w:pPr>
        <w:pStyle w:val="NormalWeb"/>
        <w:ind w:right="102"/>
        <w:jc w:val="both"/>
        <w:rPr>
          <w:rFonts w:ascii="Arial" w:hAnsi="Arial" w:cs="Arial"/>
          <w:i/>
          <w:iCs/>
          <w:color w:val="000000"/>
          <w:sz w:val="20"/>
          <w:szCs w:val="20"/>
          <w:lang w:val="it-IT"/>
        </w:rPr>
      </w:pPr>
      <w:r w:rsidRPr="00656794">
        <w:rPr>
          <w:rFonts w:ascii="Arial" w:hAnsi="Arial" w:cs="Arial"/>
          <w:i/>
          <w:iCs/>
          <w:color w:val="000000"/>
          <w:sz w:val="20"/>
          <w:szCs w:val="20"/>
          <w:lang w:val="it-IT"/>
        </w:rPr>
        <w:t>Non vi sarà alcun cambiamento nell</w:t>
      </w:r>
      <w:r w:rsidR="00F23A40" w:rsidRPr="00656794">
        <w:rPr>
          <w:rFonts w:ascii="Arial" w:hAnsi="Arial" w:cs="Arial"/>
          <w:i/>
          <w:iCs/>
          <w:color w:val="000000"/>
          <w:sz w:val="20"/>
          <w:szCs w:val="20"/>
          <w:lang w:val="it-IT"/>
        </w:rPr>
        <w:t>’</w:t>
      </w:r>
      <w:r w:rsidRPr="00656794">
        <w:rPr>
          <w:rFonts w:ascii="Arial" w:hAnsi="Arial" w:cs="Arial"/>
          <w:i/>
          <w:iCs/>
          <w:color w:val="000000"/>
          <w:sz w:val="20"/>
          <w:szCs w:val="20"/>
          <w:lang w:val="it-IT"/>
        </w:rPr>
        <w:t>approccio alla gestione dei reclami a seguito del</w:t>
      </w:r>
      <w:r w:rsidR="00F470FD">
        <w:rPr>
          <w:rFonts w:ascii="Arial" w:hAnsi="Arial" w:cs="Arial"/>
          <w:i/>
          <w:iCs/>
          <w:color w:val="000000"/>
          <w:sz w:val="20"/>
          <w:szCs w:val="20"/>
          <w:lang w:val="it-IT"/>
        </w:rPr>
        <w:t>l’</w:t>
      </w:r>
      <w:r w:rsidR="00AE4256">
        <w:rPr>
          <w:rFonts w:ascii="Arial" w:hAnsi="Arial" w:cs="Arial"/>
          <w:i/>
          <w:iCs/>
          <w:color w:val="000000"/>
          <w:sz w:val="20"/>
          <w:szCs w:val="20"/>
          <w:lang w:val="it-IT"/>
        </w:rPr>
        <w:t>Atto di Trasferimento</w:t>
      </w:r>
      <w:r w:rsidRPr="00656794">
        <w:rPr>
          <w:rFonts w:ascii="Arial" w:hAnsi="Arial" w:cs="Arial"/>
          <w:i/>
          <w:iCs/>
          <w:color w:val="000000"/>
          <w:sz w:val="20"/>
          <w:szCs w:val="20"/>
          <w:lang w:val="it-IT"/>
        </w:rPr>
        <w:t xml:space="preserve"> per </w:t>
      </w:r>
      <w:r w:rsidR="00236DFA">
        <w:rPr>
          <w:rFonts w:ascii="Arial" w:hAnsi="Arial" w:cs="Arial"/>
          <w:i/>
          <w:iCs/>
          <w:color w:val="000000"/>
          <w:sz w:val="20"/>
          <w:szCs w:val="20"/>
          <w:lang w:val="it-IT"/>
        </w:rPr>
        <w:t>i</w:t>
      </w:r>
      <w:r w:rsidR="00236DFA" w:rsidRPr="00656794">
        <w:rPr>
          <w:rFonts w:ascii="Arial" w:hAnsi="Arial" w:cs="Arial"/>
          <w:i/>
          <w:iCs/>
          <w:color w:val="000000"/>
          <w:sz w:val="20"/>
          <w:szCs w:val="20"/>
          <w:lang w:val="it-IT"/>
        </w:rPr>
        <w:t xml:space="preserve"> </w:t>
      </w:r>
      <w:r w:rsidR="00DC30A5">
        <w:rPr>
          <w:rFonts w:ascii="Arial" w:hAnsi="Arial" w:cs="Arial"/>
          <w:i/>
          <w:iCs/>
          <w:color w:val="000000"/>
          <w:sz w:val="20"/>
          <w:szCs w:val="20"/>
          <w:lang w:val="it-IT"/>
        </w:rPr>
        <w:t>contraenti</w:t>
      </w:r>
      <w:r w:rsidRPr="00656794">
        <w:rPr>
          <w:rFonts w:ascii="Arial" w:hAnsi="Arial" w:cs="Arial"/>
          <w:i/>
          <w:iCs/>
          <w:color w:val="000000"/>
          <w:sz w:val="20"/>
          <w:szCs w:val="20"/>
          <w:lang w:val="it-IT"/>
        </w:rPr>
        <w:t>. Non ho problemi da segnalare.</w:t>
      </w:r>
    </w:p>
    <w:p w14:paraId="3F379A0D" w14:textId="40ADF698" w:rsidR="00215CE9" w:rsidRPr="00656794" w:rsidRDefault="00215CE9" w:rsidP="00215CE9">
      <w:pPr>
        <w:pStyle w:val="NormalWeb"/>
        <w:ind w:right="102"/>
        <w:jc w:val="both"/>
        <w:rPr>
          <w:rFonts w:ascii="Arial" w:hAnsi="Arial" w:cs="Arial"/>
          <w:color w:val="00338D"/>
          <w:lang w:val="it-IT"/>
        </w:rPr>
      </w:pPr>
      <w:r w:rsidRPr="00656794">
        <w:rPr>
          <w:rFonts w:ascii="Arial" w:hAnsi="Arial" w:cs="Arial"/>
          <w:color w:val="00338D"/>
          <w:lang w:val="it-IT"/>
        </w:rPr>
        <w:t xml:space="preserve">8.2.10 Comunicazioni </w:t>
      </w:r>
      <w:r w:rsidR="00236DFA">
        <w:rPr>
          <w:rFonts w:ascii="Arial" w:hAnsi="Arial" w:cs="Arial"/>
          <w:color w:val="00338D"/>
          <w:lang w:val="it-IT"/>
        </w:rPr>
        <w:t>ai</w:t>
      </w:r>
      <w:r w:rsidR="00236DFA" w:rsidRPr="00656794">
        <w:rPr>
          <w:rFonts w:ascii="Arial" w:hAnsi="Arial" w:cs="Arial"/>
          <w:color w:val="00338D"/>
          <w:lang w:val="it-IT"/>
        </w:rPr>
        <w:t xml:space="preserve"> </w:t>
      </w:r>
      <w:r w:rsidR="00DC30A5">
        <w:rPr>
          <w:rFonts w:ascii="Arial" w:hAnsi="Arial" w:cs="Arial"/>
          <w:color w:val="00338D"/>
          <w:lang w:val="it-IT"/>
        </w:rPr>
        <w:t>contraenti</w:t>
      </w:r>
    </w:p>
    <w:p w14:paraId="531DCC46" w14:textId="3C46D98B"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In termini di comunicazioni </w:t>
      </w:r>
      <w:r w:rsidR="00236DFA">
        <w:rPr>
          <w:rFonts w:ascii="Arial" w:hAnsi="Arial" w:cs="Arial"/>
          <w:color w:val="000000"/>
          <w:sz w:val="20"/>
          <w:szCs w:val="20"/>
          <w:lang w:val="it-IT"/>
        </w:rPr>
        <w:t>ai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la Sezione 13 della Legge del 1909 richiede che, a meno che la Corte non disponga diversamente (e capisco che ZLAP e ZIL chiederanno la dispensa </w:t>
      </w:r>
      <w:r w:rsidR="001A6FE8">
        <w:rPr>
          <w:rFonts w:ascii="Arial" w:hAnsi="Arial" w:cs="Arial"/>
          <w:color w:val="000000"/>
          <w:sz w:val="20"/>
          <w:szCs w:val="20"/>
          <w:lang w:val="it-IT"/>
        </w:rPr>
        <w:t>della High</w:t>
      </w:r>
      <w:r w:rsidR="00B9172D">
        <w:rPr>
          <w:rFonts w:ascii="Arial" w:hAnsi="Arial" w:cs="Arial"/>
          <w:color w:val="000000"/>
          <w:sz w:val="20"/>
          <w:szCs w:val="20"/>
          <w:lang w:val="it-IT"/>
        </w:rPr>
        <w:t xml:space="preserve"> Court of Ireland</w:t>
      </w:r>
      <w:r w:rsidRPr="00656794">
        <w:rPr>
          <w:rFonts w:ascii="Arial" w:hAnsi="Arial" w:cs="Arial"/>
          <w:color w:val="000000"/>
          <w:sz w:val="20"/>
          <w:szCs w:val="20"/>
          <w:lang w:val="it-IT"/>
        </w:rPr>
        <w:t xml:space="preserve"> da questo requisito), determinati materiali devono essere trasmessi a ciascun </w:t>
      </w:r>
      <w:r w:rsidR="000640ED">
        <w:rPr>
          <w:rFonts w:ascii="Arial" w:hAnsi="Arial" w:cs="Arial"/>
          <w:color w:val="000000"/>
          <w:sz w:val="20"/>
          <w:szCs w:val="20"/>
          <w:lang w:val="it-IT"/>
        </w:rPr>
        <w:t>contraente</w:t>
      </w:r>
      <w:r w:rsidRPr="00656794">
        <w:rPr>
          <w:rFonts w:ascii="Arial" w:hAnsi="Arial" w:cs="Arial"/>
          <w:color w:val="000000"/>
          <w:sz w:val="20"/>
          <w:szCs w:val="20"/>
          <w:lang w:val="it-IT"/>
        </w:rPr>
        <w:t xml:space="preserve"> di ciascuna Società. Faccio notare che:</w:t>
      </w:r>
    </w:p>
    <w:p w14:paraId="39327452" w14:textId="72D5FF99"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236DFA">
        <w:rPr>
          <w:rFonts w:ascii="Arial" w:hAnsi="Arial" w:cs="Arial"/>
          <w:color w:val="000000"/>
          <w:sz w:val="20"/>
          <w:szCs w:val="20"/>
          <w:lang w:val="it-IT"/>
        </w:rPr>
        <w:t>Ai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ZLAP italiane in trasferimento sarà inviata una circolare (comprendente una lettera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amministratore delegato di ZLAP, un riepilogo dei termini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una versione sintetica del presente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una copia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avviso legale pubblicato e un documento di domande relative al trasferimento).</w:t>
      </w:r>
    </w:p>
    <w:p w14:paraId="4F507392" w14:textId="41C22399" w:rsidR="004B4F5A"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Data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immaterialità della transazione per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attività più ampia di ZLAP, non è intenzione di ZLAP comunicare con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ZLAP che rimarranno nella società dopo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w:t>
      </w:r>
    </w:p>
    <w:p w14:paraId="5FA52DED" w14:textId="796A3C84"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Non si intende comunicare con </w:t>
      </w:r>
      <w:r w:rsidR="00236DFA">
        <w:rPr>
          <w:rFonts w:ascii="Arial" w:hAnsi="Arial" w:cs="Arial"/>
          <w:color w:val="000000"/>
          <w:sz w:val="20"/>
          <w:szCs w:val="20"/>
          <w:lang w:val="it-IT"/>
        </w:rPr>
        <w:t>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di </w:t>
      </w:r>
      <w:r w:rsidR="004B4F5A" w:rsidRPr="00656794">
        <w:rPr>
          <w:rFonts w:ascii="Arial" w:hAnsi="Arial" w:cs="Arial"/>
          <w:color w:val="000000"/>
          <w:sz w:val="20"/>
          <w:szCs w:val="20"/>
          <w:lang w:val="it-IT"/>
        </w:rPr>
        <w:t>ZIL; tuttavia,</w:t>
      </w:r>
      <w:r w:rsidRPr="00656794">
        <w:rPr>
          <w:rFonts w:ascii="Arial" w:hAnsi="Arial" w:cs="Arial"/>
          <w:color w:val="000000"/>
          <w:sz w:val="20"/>
          <w:szCs w:val="20"/>
          <w:lang w:val="it-IT"/>
        </w:rPr>
        <w:t xml:space="preserve"> le informazioni saranno disponibili sul sito web di ZIL. Le ragioni esposte dalla direzione di ZIL sono che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ha un impatto significativo </w:t>
      </w:r>
      <w:r w:rsidR="00236DFA">
        <w:rPr>
          <w:rFonts w:ascii="Arial" w:hAnsi="Arial" w:cs="Arial"/>
          <w:color w:val="000000"/>
          <w:sz w:val="20"/>
          <w:szCs w:val="20"/>
          <w:lang w:val="it-IT"/>
        </w:rPr>
        <w:t>sui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ZIL e la loro posizione finanziaria complessiva prima e dopo il </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rimane forte e ben al di sopra dei limiti patrimoniali regolamentari interni ed esterni. </w:t>
      </w:r>
      <w:r w:rsidRPr="00656794">
        <w:rPr>
          <w:rFonts w:ascii="Arial" w:hAnsi="Arial" w:cs="Arial"/>
          <w:color w:val="000000"/>
          <w:sz w:val="20"/>
          <w:szCs w:val="20"/>
          <w:lang w:val="it-IT"/>
        </w:rPr>
        <w:lastRenderedPageBreak/>
        <w:t>Ho valutato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impatto finanziario </w:t>
      </w:r>
      <w:r w:rsidR="00236DFA">
        <w:rPr>
          <w:rFonts w:ascii="Arial" w:hAnsi="Arial" w:cs="Arial"/>
          <w:color w:val="000000"/>
          <w:sz w:val="20"/>
          <w:szCs w:val="20"/>
          <w:lang w:val="it-IT"/>
        </w:rPr>
        <w:t>sui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di ZLAP esistenti</w:t>
      </w:r>
      <w:r w:rsidRPr="00656794">
        <w:rPr>
          <w:rFonts w:ascii="Arial" w:hAnsi="Arial" w:cs="Arial"/>
          <w:color w:val="000000"/>
          <w:sz w:val="20"/>
          <w:szCs w:val="20"/>
          <w:lang w:val="it-IT"/>
        </w:rPr>
        <w:t xml:space="preserve"> e ho preso nota degli impatti, come descritto nella precedente sezione 2.1.5.</w:t>
      </w:r>
    </w:p>
    <w:p w14:paraId="5EDFC984" w14:textId="69C171AB"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Oltre a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 xml:space="preserve">, ho preparato un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xml:space="preserve"> </w:t>
      </w:r>
      <w:r w:rsidR="000E3929">
        <w:rPr>
          <w:rFonts w:ascii="Arial" w:hAnsi="Arial" w:cs="Arial"/>
          <w:color w:val="000000"/>
          <w:sz w:val="20"/>
          <w:szCs w:val="20"/>
          <w:lang w:val="it-IT"/>
        </w:rPr>
        <w:t>di sintesi</w:t>
      </w:r>
      <w:r w:rsidR="000E3929"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che copre tutti i punti materiali e le questioni sollevate in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w:t>
      </w:r>
    </w:p>
    <w:p w14:paraId="4A42C6C9" w14:textId="58B7276B"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La comunicazione </w:t>
      </w:r>
      <w:r w:rsidR="00236DFA">
        <w:rPr>
          <w:rFonts w:ascii="Arial" w:hAnsi="Arial" w:cs="Arial"/>
          <w:color w:val="000000"/>
          <w:sz w:val="20"/>
          <w:szCs w:val="20"/>
          <w:lang w:val="it-IT"/>
        </w:rPr>
        <w:t>ai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B54A6C">
        <w:rPr>
          <w:rFonts w:ascii="Arial" w:hAnsi="Arial" w:cs="Arial"/>
          <w:color w:val="000000"/>
          <w:sz w:val="20"/>
          <w:szCs w:val="20"/>
          <w:lang w:val="it-IT"/>
        </w:rPr>
        <w:t xml:space="preserve"> in perimetro di trasferimento</w:t>
      </w:r>
      <w:r w:rsidRPr="00656794">
        <w:rPr>
          <w:rFonts w:ascii="Arial" w:hAnsi="Arial" w:cs="Arial"/>
          <w:color w:val="000000"/>
          <w:sz w:val="20"/>
          <w:szCs w:val="20"/>
          <w:lang w:val="it-IT"/>
        </w:rPr>
        <w:t xml:space="preserve"> includerà la mia conclusione come Attuario Indipendente e la Relazione di Sintesi. Evidenzierà anche molto chiaramente la disponibilità </w:t>
      </w:r>
      <w:r w:rsidR="005B7BBB" w:rsidRPr="00656794">
        <w:rPr>
          <w:rFonts w:ascii="Arial" w:hAnsi="Arial" w:cs="Arial"/>
          <w:color w:val="000000"/>
          <w:sz w:val="20"/>
          <w:szCs w:val="20"/>
          <w:lang w:val="it-IT"/>
        </w:rPr>
        <w:t>della mia Relazione</w:t>
      </w:r>
      <w:r w:rsidRPr="00656794">
        <w:rPr>
          <w:rFonts w:ascii="Arial" w:hAnsi="Arial" w:cs="Arial"/>
          <w:color w:val="000000"/>
          <w:sz w:val="20"/>
          <w:szCs w:val="20"/>
          <w:lang w:val="it-IT"/>
        </w:rPr>
        <w:t xml:space="preserve"> completo su richiesta e la sua disponibilità sul sito Web ZLAP. Il CBI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IVASS saranno informati di questo approccio e ho ipotizzato che non solleveranno obiezioni.</w:t>
      </w:r>
    </w:p>
    <w:p w14:paraId="7ED0F431" w14:textId="77777777"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Verrà pubblicato un avviso sulla Gazzetta ufficiale irlandese, </w:t>
      </w:r>
      <w:r w:rsidRPr="00110CD2">
        <w:rPr>
          <w:rFonts w:ascii="Arial" w:hAnsi="Arial" w:cs="Arial"/>
          <w:i/>
          <w:iCs/>
          <w:color w:val="000000"/>
          <w:sz w:val="20"/>
          <w:szCs w:val="20"/>
          <w:lang w:val="it-IT"/>
        </w:rPr>
        <w:t>Iris Oifigiúil</w:t>
      </w:r>
      <w:r w:rsidRPr="00656794">
        <w:rPr>
          <w:rFonts w:ascii="Arial" w:hAnsi="Arial" w:cs="Arial"/>
          <w:color w:val="000000"/>
          <w:sz w:val="20"/>
          <w:szCs w:val="20"/>
          <w:lang w:val="it-IT"/>
        </w:rPr>
        <w:t>, e su due quotidiani nazionali irlandesi.</w:t>
      </w:r>
    </w:p>
    <w:p w14:paraId="31350093" w14:textId="37324C22"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La maggior parte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ha sede in Italia, con un piccolo numero in altri Stati membri del SEE. ZLAP pubblicherà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avviso del trasferimento in Italia e in ogni altro Stato membro del SEE pertinente in conformità con la legge di ciascuno di tali Stati membri. ZLAP è attualmente impegnata con i suoi consulenti legali per accertare ciò che la legge richiede in ciascuno di questi Stati membri.</w:t>
      </w:r>
    </w:p>
    <w:p w14:paraId="5963DC25" w14:textId="663FB720"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Esiste un numero limitato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al di fuori del SEE. Pur non essendo un requisito legale, ZLAP intende pubblicizzare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edizione internazionale del Financial Times per accogliere tali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w:t>
      </w:r>
    </w:p>
    <w:p w14:paraId="670161FD" w14:textId="35614495"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Nel complesso, sono a mio agio con questo approccio di comunicazione e sono sicuro che i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rimanenti di ZLAP</w:t>
      </w:r>
      <w:r w:rsidRPr="00656794">
        <w:rPr>
          <w:rFonts w:ascii="Arial" w:hAnsi="Arial" w:cs="Arial"/>
          <w:color w:val="000000"/>
          <w:sz w:val="20"/>
          <w:szCs w:val="20"/>
          <w:lang w:val="it-IT"/>
        </w:rPr>
        <w:t xml:space="preserve"> e ZIL esistenti non saranno svantaggiati in alcun modo dal non ricevere una copia di </w:t>
      </w:r>
      <w:r w:rsidR="005B7BBB" w:rsidRPr="00656794">
        <w:rPr>
          <w:rFonts w:ascii="Arial" w:hAnsi="Arial" w:cs="Arial"/>
          <w:color w:val="000000"/>
          <w:sz w:val="20"/>
          <w:szCs w:val="20"/>
          <w:lang w:val="it-IT"/>
        </w:rPr>
        <w:t>questa Relazione</w:t>
      </w:r>
      <w:r w:rsidRPr="00656794">
        <w:rPr>
          <w:rFonts w:ascii="Arial" w:hAnsi="Arial" w:cs="Arial"/>
          <w:color w:val="000000"/>
          <w:sz w:val="20"/>
          <w:szCs w:val="20"/>
          <w:lang w:val="it-IT"/>
        </w:rPr>
        <w:t xml:space="preserve"> o </w:t>
      </w:r>
      <w:r w:rsidR="005B7BBB" w:rsidRPr="00656794">
        <w:rPr>
          <w:rFonts w:ascii="Arial" w:hAnsi="Arial" w:cs="Arial"/>
          <w:color w:val="000000"/>
          <w:sz w:val="20"/>
          <w:szCs w:val="20"/>
          <w:lang w:val="it-IT"/>
        </w:rPr>
        <w:t>della mia Relazione</w:t>
      </w:r>
      <w:r w:rsidRPr="00656794">
        <w:rPr>
          <w:rFonts w:ascii="Arial" w:hAnsi="Arial" w:cs="Arial"/>
          <w:color w:val="000000"/>
          <w:sz w:val="20"/>
          <w:szCs w:val="20"/>
          <w:lang w:val="it-IT"/>
        </w:rPr>
        <w:t xml:space="preserve"> di sintesi.</w:t>
      </w:r>
    </w:p>
    <w:p w14:paraId="3B190BFD" w14:textId="35E81094" w:rsidR="00215CE9" w:rsidRPr="00656794" w:rsidRDefault="00215CE9" w:rsidP="004B4F5A">
      <w:pPr>
        <w:spacing w:before="507" w:after="0" w:line="240" w:lineRule="auto"/>
        <w:rPr>
          <w:rFonts w:ascii="Arial" w:eastAsia="Times New Roman" w:hAnsi="Arial" w:cs="Arial"/>
          <w:b/>
          <w:bCs/>
          <w:color w:val="00338D"/>
          <w:sz w:val="28"/>
          <w:szCs w:val="28"/>
          <w:lang w:val="it-IT" w:eastAsia="en-IE"/>
        </w:rPr>
      </w:pPr>
      <w:r w:rsidRPr="00656794">
        <w:rPr>
          <w:rFonts w:ascii="Arial" w:eastAsia="Times New Roman" w:hAnsi="Arial" w:cs="Arial"/>
          <w:b/>
          <w:bCs/>
          <w:color w:val="00338D"/>
          <w:sz w:val="28"/>
          <w:szCs w:val="28"/>
          <w:lang w:val="it-IT" w:eastAsia="en-IE"/>
        </w:rPr>
        <w:t>8.3 Conclusioni sull</w:t>
      </w:r>
      <w:r w:rsidR="00F23A40" w:rsidRPr="00656794">
        <w:rPr>
          <w:rFonts w:ascii="Arial" w:eastAsia="Times New Roman" w:hAnsi="Arial" w:cs="Arial"/>
          <w:b/>
          <w:bCs/>
          <w:color w:val="00338D"/>
          <w:sz w:val="28"/>
          <w:szCs w:val="28"/>
          <w:lang w:val="it-IT" w:eastAsia="en-IE"/>
        </w:rPr>
        <w:t>’</w:t>
      </w:r>
      <w:r w:rsidRPr="00656794">
        <w:rPr>
          <w:rFonts w:ascii="Arial" w:eastAsia="Times New Roman" w:hAnsi="Arial" w:cs="Arial"/>
          <w:b/>
          <w:bCs/>
          <w:color w:val="00338D"/>
          <w:sz w:val="28"/>
          <w:szCs w:val="28"/>
          <w:lang w:val="it-IT" w:eastAsia="en-IE"/>
        </w:rPr>
        <w:t>impatto del</w:t>
      </w:r>
      <w:r w:rsidR="00F470FD">
        <w:rPr>
          <w:rFonts w:ascii="Arial" w:eastAsia="Times New Roman" w:hAnsi="Arial" w:cs="Arial"/>
          <w:b/>
          <w:bCs/>
          <w:color w:val="00338D"/>
          <w:sz w:val="28"/>
          <w:szCs w:val="28"/>
          <w:lang w:val="it-IT" w:eastAsia="en-IE"/>
        </w:rPr>
        <w:t>l’</w:t>
      </w:r>
      <w:r w:rsidR="00AE4256">
        <w:rPr>
          <w:rFonts w:ascii="Arial" w:eastAsia="Times New Roman" w:hAnsi="Arial" w:cs="Arial"/>
          <w:b/>
          <w:bCs/>
          <w:color w:val="00338D"/>
          <w:sz w:val="28"/>
          <w:szCs w:val="28"/>
          <w:lang w:val="it-IT" w:eastAsia="en-IE"/>
        </w:rPr>
        <w:t>Atto di Trasferimento</w:t>
      </w:r>
      <w:r w:rsidRPr="00656794">
        <w:rPr>
          <w:rFonts w:ascii="Arial" w:eastAsia="Times New Roman" w:hAnsi="Arial" w:cs="Arial"/>
          <w:b/>
          <w:bCs/>
          <w:color w:val="00338D"/>
          <w:sz w:val="28"/>
          <w:szCs w:val="28"/>
          <w:lang w:val="it-IT" w:eastAsia="en-IE"/>
        </w:rPr>
        <w:t xml:space="preserve"> sull</w:t>
      </w:r>
      <w:r w:rsidR="00F23A40" w:rsidRPr="00656794">
        <w:rPr>
          <w:rFonts w:ascii="Arial" w:eastAsia="Times New Roman" w:hAnsi="Arial" w:cs="Arial"/>
          <w:b/>
          <w:bCs/>
          <w:color w:val="00338D"/>
          <w:sz w:val="28"/>
          <w:szCs w:val="28"/>
          <w:lang w:val="it-IT" w:eastAsia="en-IE"/>
        </w:rPr>
        <w:t>’</w:t>
      </w:r>
      <w:r w:rsidRPr="00656794">
        <w:rPr>
          <w:rFonts w:ascii="Arial" w:eastAsia="Times New Roman" w:hAnsi="Arial" w:cs="Arial"/>
          <w:b/>
          <w:bCs/>
          <w:color w:val="00338D"/>
          <w:sz w:val="28"/>
          <w:szCs w:val="28"/>
          <w:lang w:val="it-IT" w:eastAsia="en-IE"/>
        </w:rPr>
        <w:t xml:space="preserve">equo trattamento </w:t>
      </w:r>
      <w:r w:rsidR="00236DFA">
        <w:rPr>
          <w:rFonts w:ascii="Arial" w:eastAsia="Times New Roman" w:hAnsi="Arial" w:cs="Arial"/>
          <w:b/>
          <w:bCs/>
          <w:color w:val="00338D"/>
          <w:sz w:val="28"/>
          <w:szCs w:val="28"/>
          <w:lang w:val="it-IT" w:eastAsia="en-IE"/>
        </w:rPr>
        <w:t>dei</w:t>
      </w:r>
      <w:r w:rsidR="00236DFA" w:rsidRPr="00656794">
        <w:rPr>
          <w:rFonts w:ascii="Arial" w:eastAsia="Times New Roman" w:hAnsi="Arial" w:cs="Arial"/>
          <w:b/>
          <w:bCs/>
          <w:color w:val="00338D"/>
          <w:sz w:val="28"/>
          <w:szCs w:val="28"/>
          <w:lang w:val="it-IT" w:eastAsia="en-IE"/>
        </w:rPr>
        <w:t xml:space="preserve"> </w:t>
      </w:r>
      <w:r w:rsidR="00DC30A5">
        <w:rPr>
          <w:rFonts w:ascii="Arial" w:eastAsia="Times New Roman" w:hAnsi="Arial" w:cs="Arial"/>
          <w:b/>
          <w:bCs/>
          <w:color w:val="00338D"/>
          <w:sz w:val="28"/>
          <w:szCs w:val="28"/>
          <w:lang w:val="it-IT" w:eastAsia="en-IE"/>
        </w:rPr>
        <w:t>contraenti</w:t>
      </w:r>
    </w:p>
    <w:p w14:paraId="4AEDC406" w14:textId="4D3284B9" w:rsidR="00215CE9" w:rsidRPr="00656794" w:rsidRDefault="00215CE9" w:rsidP="00215CE9">
      <w:pPr>
        <w:pStyle w:val="NormalWeb"/>
        <w:ind w:right="102"/>
        <w:jc w:val="both"/>
        <w:rPr>
          <w:rFonts w:ascii="Arial" w:hAnsi="Arial" w:cs="Arial"/>
          <w:color w:val="00338D"/>
          <w:lang w:val="it-IT"/>
        </w:rPr>
      </w:pPr>
      <w:r w:rsidRPr="00656794">
        <w:rPr>
          <w:rFonts w:ascii="Arial" w:hAnsi="Arial" w:cs="Arial"/>
          <w:color w:val="00338D"/>
          <w:lang w:val="it-IT"/>
        </w:rPr>
        <w:t>8.3.1 Conclusione sull</w:t>
      </w:r>
      <w:r w:rsidR="00F23A40" w:rsidRPr="00656794">
        <w:rPr>
          <w:rFonts w:ascii="Arial" w:hAnsi="Arial" w:cs="Arial"/>
          <w:color w:val="00338D"/>
          <w:lang w:val="it-IT"/>
        </w:rPr>
        <w:t>’</w:t>
      </w:r>
      <w:r w:rsidRPr="00656794">
        <w:rPr>
          <w:rFonts w:ascii="Arial" w:hAnsi="Arial" w:cs="Arial"/>
          <w:color w:val="00338D"/>
          <w:lang w:val="it-IT"/>
        </w:rPr>
        <w:t>impatto del</w:t>
      </w:r>
      <w:r w:rsidR="00F470FD">
        <w:rPr>
          <w:rFonts w:ascii="Arial" w:hAnsi="Arial" w:cs="Arial"/>
          <w:color w:val="00338D"/>
          <w:lang w:val="it-IT"/>
        </w:rPr>
        <w:t>l’</w:t>
      </w:r>
      <w:r w:rsidR="00AE4256">
        <w:rPr>
          <w:rFonts w:ascii="Arial" w:hAnsi="Arial" w:cs="Arial"/>
          <w:color w:val="00338D"/>
          <w:lang w:val="it-IT"/>
        </w:rPr>
        <w:t>Atto di Trasferimento</w:t>
      </w:r>
      <w:r w:rsidRPr="00656794">
        <w:rPr>
          <w:rFonts w:ascii="Arial" w:hAnsi="Arial" w:cs="Arial"/>
          <w:color w:val="00338D"/>
          <w:lang w:val="it-IT"/>
        </w:rPr>
        <w:t xml:space="preserve"> sul trattamento equo </w:t>
      </w:r>
      <w:r w:rsidR="00236DFA">
        <w:rPr>
          <w:rFonts w:ascii="Arial" w:hAnsi="Arial" w:cs="Arial"/>
          <w:color w:val="00338D"/>
          <w:lang w:val="it-IT"/>
        </w:rPr>
        <w:t>dei</w:t>
      </w:r>
      <w:r w:rsidR="00236DFA" w:rsidRPr="00656794">
        <w:rPr>
          <w:rFonts w:ascii="Arial" w:hAnsi="Arial" w:cs="Arial"/>
          <w:color w:val="00338D"/>
          <w:lang w:val="it-IT"/>
        </w:rPr>
        <w:t xml:space="preserve"> </w:t>
      </w:r>
      <w:r w:rsidR="00DC30A5">
        <w:rPr>
          <w:rFonts w:ascii="Arial" w:hAnsi="Arial" w:cs="Arial"/>
          <w:color w:val="00338D"/>
          <w:lang w:val="it-IT"/>
        </w:rPr>
        <w:t>contraenti</w:t>
      </w:r>
      <w:r w:rsidRPr="00656794">
        <w:rPr>
          <w:rFonts w:ascii="Arial" w:hAnsi="Arial" w:cs="Arial"/>
          <w:color w:val="00338D"/>
          <w:lang w:val="it-IT"/>
        </w:rPr>
        <w:t xml:space="preserve"> </w:t>
      </w:r>
      <w:r w:rsidR="008A525A" w:rsidRPr="00656794">
        <w:rPr>
          <w:rFonts w:ascii="Arial" w:hAnsi="Arial" w:cs="Arial"/>
          <w:color w:val="00338D"/>
          <w:lang w:val="it-IT"/>
        </w:rPr>
        <w:t>unit-linked</w:t>
      </w:r>
      <w:r w:rsidRPr="00656794">
        <w:rPr>
          <w:rFonts w:ascii="Arial" w:hAnsi="Arial" w:cs="Arial"/>
          <w:color w:val="00338D"/>
          <w:lang w:val="it-IT"/>
        </w:rPr>
        <w:t xml:space="preserve"> ZLAP italiani in trasferimento</w:t>
      </w:r>
    </w:p>
    <w:p w14:paraId="1E85EF3A" w14:textId="6AF5C21D"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Alla luce delle considerazioni sopra esposte, a mio avviso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attuazione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avrà un effetto negativo sostanziale sul trattamento equo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r w:rsidR="008A525A" w:rsidRPr="00656794">
        <w:rPr>
          <w:rFonts w:ascii="Arial" w:hAnsi="Arial" w:cs="Arial"/>
          <w:color w:val="000000"/>
          <w:sz w:val="20"/>
          <w:szCs w:val="20"/>
          <w:lang w:val="it-IT"/>
        </w:rPr>
        <w:t>unit-linked</w:t>
      </w:r>
      <w:r w:rsidRPr="00656794">
        <w:rPr>
          <w:rFonts w:ascii="Arial" w:hAnsi="Arial" w:cs="Arial"/>
          <w:color w:val="000000"/>
          <w:sz w:val="20"/>
          <w:szCs w:val="20"/>
          <w:lang w:val="it-IT"/>
        </w:rPr>
        <w:t xml:space="preserve"> </w:t>
      </w:r>
      <w:r w:rsidR="00446E83">
        <w:rPr>
          <w:rFonts w:ascii="Arial" w:hAnsi="Arial" w:cs="Arial"/>
          <w:color w:val="000000"/>
          <w:sz w:val="20"/>
          <w:szCs w:val="20"/>
          <w:lang w:val="it-IT"/>
        </w:rPr>
        <w:t>italiani</w:t>
      </w:r>
      <w:r w:rsidRPr="00656794">
        <w:rPr>
          <w:rFonts w:ascii="Arial" w:hAnsi="Arial" w:cs="Arial"/>
          <w:color w:val="000000"/>
          <w:sz w:val="20"/>
          <w:szCs w:val="20"/>
          <w:lang w:val="it-IT"/>
        </w:rPr>
        <w:t xml:space="preserve"> di ZLAP</w:t>
      </w:r>
      <w:r w:rsidR="00446E83">
        <w:rPr>
          <w:rFonts w:ascii="Arial" w:hAnsi="Arial" w:cs="Arial"/>
          <w:color w:val="000000"/>
          <w:sz w:val="20"/>
          <w:szCs w:val="20"/>
          <w:lang w:val="it-IT"/>
        </w:rPr>
        <w:t xml:space="preserve"> in trasferimento</w:t>
      </w:r>
      <w:r w:rsidRPr="00656794">
        <w:rPr>
          <w:rFonts w:ascii="Arial" w:hAnsi="Arial" w:cs="Arial"/>
          <w:color w:val="000000"/>
          <w:sz w:val="20"/>
          <w:szCs w:val="20"/>
          <w:lang w:val="it-IT"/>
        </w:rPr>
        <w:t>.</w:t>
      </w:r>
    </w:p>
    <w:p w14:paraId="13373DC5" w14:textId="0EBAC7C6" w:rsidR="00215CE9" w:rsidRPr="00656794" w:rsidRDefault="00215CE9" w:rsidP="00215CE9">
      <w:pPr>
        <w:pStyle w:val="NormalWeb"/>
        <w:ind w:right="102"/>
        <w:jc w:val="both"/>
        <w:rPr>
          <w:rFonts w:ascii="Arial" w:hAnsi="Arial" w:cs="Arial"/>
          <w:color w:val="00338D"/>
          <w:lang w:val="it-IT"/>
        </w:rPr>
      </w:pPr>
      <w:r w:rsidRPr="00656794">
        <w:rPr>
          <w:rFonts w:ascii="Arial" w:hAnsi="Arial" w:cs="Arial"/>
          <w:color w:val="00338D"/>
          <w:lang w:val="it-IT"/>
        </w:rPr>
        <w:t>8.3.2 Conclusione sull</w:t>
      </w:r>
      <w:r w:rsidR="00F23A40" w:rsidRPr="00656794">
        <w:rPr>
          <w:rFonts w:ascii="Arial" w:hAnsi="Arial" w:cs="Arial"/>
          <w:color w:val="00338D"/>
          <w:lang w:val="it-IT"/>
        </w:rPr>
        <w:t>’</w:t>
      </w:r>
      <w:r w:rsidRPr="00656794">
        <w:rPr>
          <w:rFonts w:ascii="Arial" w:hAnsi="Arial" w:cs="Arial"/>
          <w:color w:val="00338D"/>
          <w:lang w:val="it-IT"/>
        </w:rPr>
        <w:t>impatto del</w:t>
      </w:r>
      <w:r w:rsidR="00F470FD">
        <w:rPr>
          <w:rFonts w:ascii="Arial" w:hAnsi="Arial" w:cs="Arial"/>
          <w:color w:val="00338D"/>
          <w:lang w:val="it-IT"/>
        </w:rPr>
        <w:t>l’</w:t>
      </w:r>
      <w:r w:rsidR="00AE4256">
        <w:rPr>
          <w:rFonts w:ascii="Arial" w:hAnsi="Arial" w:cs="Arial"/>
          <w:color w:val="00338D"/>
          <w:lang w:val="it-IT"/>
        </w:rPr>
        <w:t>Atto di Trasferimento</w:t>
      </w:r>
      <w:r w:rsidRPr="00656794">
        <w:rPr>
          <w:rFonts w:ascii="Arial" w:hAnsi="Arial" w:cs="Arial"/>
          <w:color w:val="00338D"/>
          <w:lang w:val="it-IT"/>
        </w:rPr>
        <w:t xml:space="preserve"> sul trattamento equo </w:t>
      </w:r>
      <w:r w:rsidR="00236DFA">
        <w:rPr>
          <w:rFonts w:ascii="Arial" w:hAnsi="Arial" w:cs="Arial"/>
          <w:color w:val="00338D"/>
          <w:lang w:val="it-IT"/>
        </w:rPr>
        <w:t>dei</w:t>
      </w:r>
      <w:r w:rsidR="00236DFA" w:rsidRPr="00656794">
        <w:rPr>
          <w:rFonts w:ascii="Arial" w:hAnsi="Arial" w:cs="Arial"/>
          <w:color w:val="00338D"/>
          <w:lang w:val="it-IT"/>
        </w:rPr>
        <w:t xml:space="preserve"> </w:t>
      </w:r>
      <w:r w:rsidR="00DC30A5">
        <w:rPr>
          <w:rFonts w:ascii="Arial" w:hAnsi="Arial" w:cs="Arial"/>
          <w:color w:val="00338D"/>
          <w:lang w:val="it-IT"/>
        </w:rPr>
        <w:t>contraenti</w:t>
      </w:r>
      <w:r w:rsidR="00420F7E">
        <w:rPr>
          <w:rFonts w:ascii="Arial" w:hAnsi="Arial" w:cs="Arial"/>
          <w:color w:val="00338D"/>
          <w:lang w:val="it-IT"/>
        </w:rPr>
        <w:t xml:space="preserve"> di ZLAP esistenti</w:t>
      </w:r>
    </w:p>
    <w:p w14:paraId="49495CCC" w14:textId="61514459" w:rsidR="00215CE9" w:rsidRPr="004A39A6"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Alla luce delle considerazioni sopra esposte, a mio avviso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attuazione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avrà un effetto negativo materiale sul trattamento equo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w:t>
      </w:r>
      <w:r w:rsidR="00446E83">
        <w:rPr>
          <w:rFonts w:ascii="Arial" w:hAnsi="Arial" w:cs="Arial"/>
          <w:color w:val="000000"/>
          <w:sz w:val="20"/>
          <w:szCs w:val="20"/>
          <w:lang w:val="it-IT"/>
        </w:rPr>
        <w:t xml:space="preserve">esistenti </w:t>
      </w:r>
      <w:r w:rsidR="00420F7E">
        <w:rPr>
          <w:rFonts w:ascii="Arial" w:hAnsi="Arial" w:cs="Arial"/>
          <w:color w:val="000000"/>
          <w:sz w:val="20"/>
          <w:szCs w:val="20"/>
          <w:lang w:val="it-IT"/>
        </w:rPr>
        <w:t>di ZLAP</w:t>
      </w:r>
      <w:r w:rsidRPr="00656794">
        <w:rPr>
          <w:rFonts w:ascii="Arial" w:hAnsi="Arial" w:cs="Arial"/>
          <w:color w:val="000000"/>
          <w:sz w:val="20"/>
          <w:szCs w:val="20"/>
          <w:lang w:val="it-IT"/>
        </w:rPr>
        <w:t>.</w:t>
      </w:r>
    </w:p>
    <w:p w14:paraId="1E79DAB9" w14:textId="0B515490" w:rsidR="00215CE9" w:rsidRPr="00656794" w:rsidRDefault="00215CE9" w:rsidP="00215CE9">
      <w:pPr>
        <w:pStyle w:val="NormalWeb"/>
        <w:ind w:right="102"/>
        <w:jc w:val="both"/>
        <w:rPr>
          <w:rFonts w:ascii="Arial" w:hAnsi="Arial" w:cs="Arial"/>
          <w:color w:val="00338D"/>
          <w:lang w:val="it-IT"/>
        </w:rPr>
      </w:pPr>
      <w:r w:rsidRPr="00656794">
        <w:rPr>
          <w:rFonts w:ascii="Arial" w:hAnsi="Arial" w:cs="Arial"/>
          <w:color w:val="00338D"/>
          <w:lang w:val="it-IT"/>
        </w:rPr>
        <w:t>8.3.3 Conclusione sull</w:t>
      </w:r>
      <w:r w:rsidR="00F23A40" w:rsidRPr="00656794">
        <w:rPr>
          <w:rFonts w:ascii="Arial" w:hAnsi="Arial" w:cs="Arial"/>
          <w:color w:val="00338D"/>
          <w:lang w:val="it-IT"/>
        </w:rPr>
        <w:t>’</w:t>
      </w:r>
      <w:r w:rsidRPr="00656794">
        <w:rPr>
          <w:rFonts w:ascii="Arial" w:hAnsi="Arial" w:cs="Arial"/>
          <w:color w:val="00338D"/>
          <w:lang w:val="it-IT"/>
        </w:rPr>
        <w:t>impatto del</w:t>
      </w:r>
      <w:r w:rsidR="00F470FD">
        <w:rPr>
          <w:rFonts w:ascii="Arial" w:hAnsi="Arial" w:cs="Arial"/>
          <w:color w:val="00338D"/>
          <w:lang w:val="it-IT"/>
        </w:rPr>
        <w:t>l’</w:t>
      </w:r>
      <w:r w:rsidR="00AE4256">
        <w:rPr>
          <w:rFonts w:ascii="Arial" w:hAnsi="Arial" w:cs="Arial"/>
          <w:color w:val="00338D"/>
          <w:lang w:val="it-IT"/>
        </w:rPr>
        <w:t>Atto di Trasferimento</w:t>
      </w:r>
      <w:r w:rsidRPr="00656794">
        <w:rPr>
          <w:rFonts w:ascii="Arial" w:hAnsi="Arial" w:cs="Arial"/>
          <w:color w:val="00338D"/>
          <w:lang w:val="it-IT"/>
        </w:rPr>
        <w:t xml:space="preserve"> sul trattamento equo dei </w:t>
      </w:r>
      <w:r w:rsidR="00DC30A5">
        <w:rPr>
          <w:rFonts w:ascii="Arial" w:hAnsi="Arial" w:cs="Arial"/>
          <w:color w:val="00338D"/>
          <w:lang w:val="it-IT"/>
        </w:rPr>
        <w:t>contraenti</w:t>
      </w:r>
      <w:r w:rsidR="00420F7E">
        <w:rPr>
          <w:rFonts w:ascii="Arial" w:hAnsi="Arial" w:cs="Arial"/>
          <w:color w:val="00338D"/>
          <w:lang w:val="it-IT"/>
        </w:rPr>
        <w:t xml:space="preserve"> rimanenti di ZLAP</w:t>
      </w:r>
    </w:p>
    <w:p w14:paraId="019534FB" w14:textId="6D2887C0" w:rsidR="003829D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Alla luce delle considerazioni sopra esposte, a mio avviso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attuazione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non avrà un effetto negativo sostanziale sul trattamento equo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420F7E">
        <w:rPr>
          <w:rFonts w:ascii="Arial" w:hAnsi="Arial" w:cs="Arial"/>
          <w:color w:val="000000"/>
          <w:sz w:val="20"/>
          <w:szCs w:val="20"/>
          <w:lang w:val="it-IT"/>
        </w:rPr>
        <w:t xml:space="preserve"> rimanenti di ZLAP</w:t>
      </w:r>
      <w:r w:rsidRPr="00656794">
        <w:rPr>
          <w:rFonts w:ascii="Arial" w:hAnsi="Arial" w:cs="Arial"/>
          <w:color w:val="000000"/>
          <w:sz w:val="20"/>
          <w:szCs w:val="20"/>
          <w:lang w:val="it-IT"/>
        </w:rPr>
        <w:t>.</w:t>
      </w:r>
    </w:p>
    <w:p w14:paraId="7A94E2D8" w14:textId="3CCF81BD" w:rsidR="00215CE9" w:rsidRPr="00656794" w:rsidRDefault="00215CE9" w:rsidP="00215CE9">
      <w:pPr>
        <w:pStyle w:val="NormalWeb"/>
        <w:ind w:right="102"/>
        <w:jc w:val="both"/>
        <w:rPr>
          <w:rFonts w:ascii="Arial" w:hAnsi="Arial" w:cs="Arial"/>
          <w:color w:val="000000"/>
          <w:sz w:val="20"/>
          <w:szCs w:val="20"/>
          <w:lang w:val="it-IT"/>
        </w:rPr>
      </w:pPr>
    </w:p>
    <w:p w14:paraId="7FB10081" w14:textId="446D54B1" w:rsidR="00215CE9" w:rsidRPr="00656794" w:rsidRDefault="00215CE9">
      <w:pPr>
        <w:rPr>
          <w:rFonts w:ascii="Arial" w:eastAsia="Times New Roman" w:hAnsi="Arial" w:cs="Arial"/>
          <w:color w:val="000000"/>
          <w:sz w:val="20"/>
          <w:szCs w:val="20"/>
          <w:lang w:val="it-IT" w:eastAsia="en-IE"/>
        </w:rPr>
      </w:pPr>
      <w:r w:rsidRPr="00656794">
        <w:rPr>
          <w:rFonts w:ascii="Arial" w:hAnsi="Arial" w:cs="Arial"/>
          <w:color w:val="000000"/>
          <w:sz w:val="20"/>
          <w:szCs w:val="20"/>
          <w:lang w:val="it-IT"/>
        </w:rPr>
        <w:br w:type="page"/>
      </w:r>
    </w:p>
    <w:p w14:paraId="642E2924" w14:textId="77777777" w:rsidR="00E32A84" w:rsidRPr="00656794" w:rsidRDefault="00E32A84" w:rsidP="00215CE9">
      <w:pPr>
        <w:pStyle w:val="NormalWeb"/>
        <w:ind w:right="102"/>
        <w:jc w:val="both"/>
        <w:rPr>
          <w:rFonts w:ascii="Arial" w:hAnsi="Arial" w:cs="Arial"/>
          <w:color w:val="00338D"/>
          <w:sz w:val="28"/>
          <w:szCs w:val="28"/>
          <w:lang w:val="it-IT"/>
        </w:rPr>
      </w:pPr>
      <w:r w:rsidRPr="00656794">
        <w:rPr>
          <w:rFonts w:ascii="Arial" w:hAnsi="Arial" w:cs="Arial"/>
          <w:color w:val="00338D"/>
          <w:sz w:val="28"/>
          <w:szCs w:val="28"/>
          <w:lang w:val="it-IT"/>
        </w:rPr>
        <w:lastRenderedPageBreak/>
        <w:t>Appendice 1 Informazioni ricevute</w:t>
      </w:r>
    </w:p>
    <w:p w14:paraId="2C9E8F39" w14:textId="06155134"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tabella che segue riporta una sintesi delle informazioni fornitemi per agevolare la redazione della presente Relazione. Tengo a precisare che, oltre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elenco seguente:</w:t>
      </w:r>
    </w:p>
    <w:p w14:paraId="59E93B86" w14:textId="1E4E9104"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FF4562">
        <w:rPr>
          <w:rFonts w:ascii="Arial" w:hAnsi="Arial" w:cs="Arial"/>
          <w:color w:val="000000"/>
          <w:sz w:val="20"/>
          <w:szCs w:val="20"/>
          <w:lang w:val="it-IT"/>
        </w:rPr>
        <w:t>h</w:t>
      </w:r>
      <w:r w:rsidRPr="00656794">
        <w:rPr>
          <w:rFonts w:ascii="Arial" w:hAnsi="Arial" w:cs="Arial"/>
          <w:color w:val="000000"/>
          <w:sz w:val="20"/>
          <w:szCs w:val="20"/>
          <w:lang w:val="it-IT"/>
        </w:rPr>
        <w:t>o avuto chiamate regolari con la direzione per discutere di domande e problemi che sorgevano;</w:t>
      </w:r>
    </w:p>
    <w:p w14:paraId="639D57E6" w14:textId="1609CB0E"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sono stati forniti anche e-mail e documenti di supporto per integrare gli elementi chiave descritti di seguito; e</w:t>
      </w:r>
    </w:p>
    <w:p w14:paraId="129377FE" w14:textId="02759C4B"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FF4562">
        <w:rPr>
          <w:rFonts w:ascii="Arial" w:hAnsi="Arial" w:cs="Arial"/>
          <w:color w:val="000000"/>
          <w:sz w:val="20"/>
          <w:szCs w:val="20"/>
          <w:lang w:val="it-IT"/>
        </w:rPr>
        <w:t>h</w:t>
      </w:r>
      <w:r w:rsidRPr="00656794">
        <w:rPr>
          <w:rFonts w:ascii="Arial" w:hAnsi="Arial" w:cs="Arial"/>
          <w:color w:val="000000"/>
          <w:sz w:val="20"/>
          <w:szCs w:val="20"/>
          <w:lang w:val="it-IT"/>
        </w:rPr>
        <w:t>o anche tenuto un seminario con Previnet per comprendere il background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azienda, </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del progetto di migrazione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amministrazione, i progressi attuali e le eventuali problematiche derivanti.</w:t>
      </w:r>
    </w:p>
    <w:tbl>
      <w:tblPr>
        <w:tblW w:w="0" w:type="auto"/>
        <w:tblCellMar>
          <w:top w:w="15" w:type="dxa"/>
          <w:left w:w="15" w:type="dxa"/>
          <w:bottom w:w="15" w:type="dxa"/>
          <w:right w:w="15" w:type="dxa"/>
        </w:tblCellMar>
        <w:tblLook w:val="04A0" w:firstRow="1" w:lastRow="0" w:firstColumn="1" w:lastColumn="0" w:noHBand="0" w:noVBand="1"/>
      </w:tblPr>
      <w:tblGrid>
        <w:gridCol w:w="2362"/>
        <w:gridCol w:w="6644"/>
      </w:tblGrid>
      <w:tr w:rsidR="00215CE9" w:rsidRPr="00656794" w14:paraId="1DD57FFB" w14:textId="77777777" w:rsidTr="00D83AA4">
        <w:trPr>
          <w:trHeight w:val="338"/>
        </w:trPr>
        <w:tc>
          <w:tcPr>
            <w:tcW w:w="0" w:type="auto"/>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742DD872" w14:textId="7ABA64F0" w:rsidR="00215CE9" w:rsidRPr="00656794" w:rsidRDefault="00215CE9" w:rsidP="00D83AA4">
            <w:pPr>
              <w:spacing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b/>
                <w:bCs/>
                <w:color w:val="FFFFFF" w:themeColor="background1"/>
                <w:sz w:val="20"/>
                <w:szCs w:val="20"/>
                <w:lang w:val="it-IT" w:eastAsia="en-IE"/>
              </w:rPr>
              <w:t>Informa</w:t>
            </w:r>
            <w:r w:rsidR="00E32A84" w:rsidRPr="00656794">
              <w:rPr>
                <w:rFonts w:ascii="Arial" w:eastAsia="Times New Roman" w:hAnsi="Arial" w:cs="Arial"/>
                <w:b/>
                <w:bCs/>
                <w:color w:val="FFFFFF" w:themeColor="background1"/>
                <w:sz w:val="20"/>
                <w:szCs w:val="20"/>
                <w:lang w:val="it-IT" w:eastAsia="en-IE"/>
              </w:rPr>
              <w:t>zioni</w:t>
            </w:r>
          </w:p>
        </w:tc>
      </w:tr>
      <w:tr w:rsidR="00215CE9" w:rsidRPr="00656794" w14:paraId="793BD4AC" w14:textId="77777777" w:rsidTr="00D83AA4">
        <w:trPr>
          <w:trHeight w:val="323"/>
        </w:trPr>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29B8FAF" w14:textId="0030DDFB" w:rsidR="00215CE9" w:rsidRPr="00656794" w:rsidRDefault="00E32A84"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Oggetto</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44E3FBB3" w14:textId="6DC090F7" w:rsidR="00215CE9" w:rsidRPr="00656794" w:rsidRDefault="00215CE9" w:rsidP="00D83AA4">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Document</w:t>
            </w:r>
            <w:r w:rsidR="00E32A84" w:rsidRPr="00656794">
              <w:rPr>
                <w:rFonts w:ascii="Arial" w:eastAsia="Times New Roman" w:hAnsi="Arial" w:cs="Arial"/>
                <w:b/>
                <w:bCs/>
                <w:color w:val="000000"/>
                <w:sz w:val="18"/>
                <w:szCs w:val="18"/>
                <w:lang w:val="it-IT" w:eastAsia="en-IE"/>
              </w:rPr>
              <w:t>o</w:t>
            </w:r>
          </w:p>
        </w:tc>
      </w:tr>
      <w:tr w:rsidR="00CC0F8E" w:rsidRPr="00656794" w14:paraId="3E6112EA" w14:textId="77777777" w:rsidTr="00215CE9">
        <w:trPr>
          <w:trHeight w:val="6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AB1BD" w14:textId="545E9EB7" w:rsidR="00CC0F8E" w:rsidRPr="00656794" w:rsidRDefault="0000727B" w:rsidP="00CC0F8E">
            <w:pPr>
              <w:spacing w:after="0" w:line="240" w:lineRule="auto"/>
              <w:rPr>
                <w:rFonts w:ascii="Arial" w:eastAsia="Times New Roman" w:hAnsi="Arial" w:cs="Arial"/>
                <w:sz w:val="18"/>
                <w:szCs w:val="18"/>
                <w:lang w:val="it-IT" w:eastAsia="en-IE"/>
              </w:rPr>
            </w:pPr>
            <w:r>
              <w:rPr>
                <w:rFonts w:ascii="Arial" w:hAnsi="Arial" w:cs="Arial"/>
                <w:sz w:val="18"/>
                <w:szCs w:val="18"/>
                <w:lang w:val="it-IT"/>
              </w:rPr>
              <w:t xml:space="preserve">  </w:t>
            </w:r>
            <w:r w:rsidR="00CC0F8E" w:rsidRPr="00656794">
              <w:rPr>
                <w:rFonts w:ascii="Arial" w:hAnsi="Arial" w:cs="Arial"/>
                <w:sz w:val="18"/>
                <w:szCs w:val="18"/>
                <w:lang w:val="it-IT"/>
              </w:rPr>
              <w:t>Riassicurazione ZIL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C5A43" w14:textId="27E79B05" w:rsidR="00CC0F8E" w:rsidRPr="00656794" w:rsidRDefault="00CC0F8E" w:rsidP="00CC0F8E">
            <w:pPr>
              <w:spacing w:after="0" w:line="240" w:lineRule="auto"/>
              <w:ind w:left="122"/>
              <w:rPr>
                <w:rFonts w:ascii="Arial" w:hAnsi="Arial" w:cs="Arial"/>
                <w:sz w:val="18"/>
                <w:szCs w:val="18"/>
                <w:lang w:val="it-IT"/>
              </w:rPr>
            </w:pPr>
            <w:r w:rsidRPr="00656794">
              <w:rPr>
                <w:rFonts w:ascii="Arial" w:hAnsi="Arial" w:cs="Arial"/>
                <w:sz w:val="18"/>
                <w:szCs w:val="18"/>
                <w:lang w:val="it-IT"/>
              </w:rPr>
              <w:t xml:space="preserve">Vari pdf e file </w:t>
            </w:r>
            <w:r w:rsidR="00FF4562" w:rsidRPr="00656794">
              <w:rPr>
                <w:rFonts w:ascii="Arial" w:hAnsi="Arial" w:cs="Arial"/>
                <w:sz w:val="18"/>
                <w:szCs w:val="18"/>
                <w:lang w:val="it-IT"/>
              </w:rPr>
              <w:t>Excel</w:t>
            </w:r>
            <w:r w:rsidRPr="00656794">
              <w:rPr>
                <w:rFonts w:ascii="Arial" w:hAnsi="Arial" w:cs="Arial"/>
                <w:sz w:val="18"/>
                <w:szCs w:val="18"/>
                <w:lang w:val="it-IT"/>
              </w:rPr>
              <w:t xml:space="preserve"> che descrivono la riassicurazione in atto;</w:t>
            </w:r>
          </w:p>
          <w:p w14:paraId="32EB0F5C" w14:textId="77777777" w:rsidR="00CC0F8E" w:rsidRPr="00656794" w:rsidRDefault="00CC0F8E" w:rsidP="00CC0F8E">
            <w:pPr>
              <w:spacing w:after="0" w:line="240" w:lineRule="auto"/>
              <w:ind w:left="122"/>
              <w:rPr>
                <w:rFonts w:ascii="Arial" w:hAnsi="Arial" w:cs="Arial"/>
                <w:sz w:val="18"/>
                <w:szCs w:val="18"/>
                <w:lang w:val="it-IT"/>
              </w:rPr>
            </w:pPr>
            <w:r w:rsidRPr="00656794">
              <w:rPr>
                <w:rFonts w:ascii="Arial" w:hAnsi="Arial" w:cs="Arial"/>
                <w:sz w:val="18"/>
                <w:szCs w:val="18"/>
                <w:lang w:val="it-IT"/>
              </w:rPr>
              <w:t>Garanzia detenuta per i trattati chiave;</w:t>
            </w:r>
          </w:p>
          <w:p w14:paraId="4AA5314C" w14:textId="7EB91608" w:rsidR="00CC0F8E" w:rsidRPr="00656794" w:rsidRDefault="00CC0F8E" w:rsidP="00CC0F8E">
            <w:pPr>
              <w:spacing w:after="0" w:line="240" w:lineRule="auto"/>
              <w:ind w:left="122"/>
              <w:rPr>
                <w:rFonts w:ascii="Arial" w:eastAsia="Times New Roman" w:hAnsi="Arial" w:cs="Arial"/>
                <w:sz w:val="18"/>
                <w:szCs w:val="18"/>
                <w:lang w:val="it-IT" w:eastAsia="en-IE"/>
              </w:rPr>
            </w:pPr>
            <w:r w:rsidRPr="00656794">
              <w:rPr>
                <w:rFonts w:ascii="Arial" w:hAnsi="Arial" w:cs="Arial"/>
                <w:sz w:val="18"/>
                <w:szCs w:val="18"/>
                <w:lang w:val="it-IT"/>
              </w:rPr>
              <w:t>Elenco master delle controparti;</w:t>
            </w:r>
          </w:p>
        </w:tc>
      </w:tr>
      <w:tr w:rsidR="00CC0F8E" w:rsidRPr="00656794" w14:paraId="232C9DE6" w14:textId="77777777" w:rsidTr="00215CE9">
        <w:trPr>
          <w:trHeight w:val="6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4AEC2" w14:textId="192F5C19" w:rsidR="00CC0F8E" w:rsidRPr="00656794" w:rsidRDefault="00CC0F8E" w:rsidP="00CC0F8E">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Segnalazioni di vigilanza regolamentare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12C48" w14:textId="313CEB6C" w:rsidR="00CC0F8E" w:rsidRPr="00656794" w:rsidRDefault="00CC0F8E" w:rsidP="00CC0F8E">
            <w:pPr>
              <w:spacing w:after="0" w:line="240" w:lineRule="auto"/>
              <w:ind w:left="118"/>
              <w:rPr>
                <w:rFonts w:ascii="Arial" w:eastAsia="Times New Roman" w:hAnsi="Arial" w:cs="Arial"/>
                <w:sz w:val="18"/>
                <w:szCs w:val="18"/>
                <w:lang w:val="it-IT" w:eastAsia="en-IE"/>
              </w:rPr>
            </w:pPr>
            <w:r w:rsidRPr="00656794">
              <w:rPr>
                <w:rFonts w:ascii="Arial" w:hAnsi="Arial" w:cs="Arial"/>
                <w:sz w:val="18"/>
                <w:szCs w:val="18"/>
                <w:lang w:val="it-IT"/>
              </w:rPr>
              <w:t>RSR ZIL 2018, 2019 e 2020</w:t>
            </w:r>
          </w:p>
        </w:tc>
      </w:tr>
      <w:tr w:rsidR="00CC0F8E" w:rsidRPr="00867942" w14:paraId="49C07EFF" w14:textId="77777777" w:rsidTr="00215CE9">
        <w:trPr>
          <w:trHeight w:val="6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FCDE7" w14:textId="43D21239" w:rsidR="00CC0F8E" w:rsidRPr="00656794" w:rsidRDefault="00CC0F8E" w:rsidP="00CC0F8E">
            <w:pPr>
              <w:spacing w:after="0" w:line="240" w:lineRule="auto"/>
              <w:ind w:left="113"/>
              <w:rPr>
                <w:rFonts w:ascii="Arial" w:eastAsia="Times New Roman" w:hAnsi="Arial" w:cs="Arial"/>
                <w:sz w:val="18"/>
                <w:szCs w:val="18"/>
                <w:lang w:val="it-IT" w:eastAsia="en-IE"/>
              </w:rPr>
            </w:pPr>
            <w:r w:rsidRPr="00656794">
              <w:rPr>
                <w:rFonts w:ascii="Arial" w:hAnsi="Arial" w:cs="Arial"/>
                <w:sz w:val="18"/>
                <w:szCs w:val="18"/>
                <w:lang w:val="it-IT"/>
              </w:rPr>
              <w:t>Rapporti sulle funzioni attuariali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B0F8D" w14:textId="092057D1" w:rsidR="00CC0F8E" w:rsidRPr="00656794" w:rsidRDefault="00CC0F8E" w:rsidP="00CC0F8E">
            <w:pPr>
              <w:spacing w:after="0" w:line="240" w:lineRule="auto"/>
              <w:ind w:left="118"/>
              <w:rPr>
                <w:rFonts w:ascii="Arial" w:eastAsia="Times New Roman" w:hAnsi="Arial" w:cs="Arial"/>
                <w:sz w:val="18"/>
                <w:szCs w:val="18"/>
                <w:lang w:val="it-IT" w:eastAsia="en-IE"/>
              </w:rPr>
            </w:pPr>
            <w:r w:rsidRPr="00656794">
              <w:rPr>
                <w:rFonts w:ascii="Arial" w:hAnsi="Arial" w:cs="Arial"/>
                <w:sz w:val="18"/>
                <w:szCs w:val="18"/>
                <w:lang w:val="it-IT"/>
              </w:rPr>
              <w:t>Rapporti funzione attuariale ZIL 2018, 2019 e 2020</w:t>
            </w:r>
          </w:p>
        </w:tc>
      </w:tr>
      <w:tr w:rsidR="00CC0F8E" w:rsidRPr="00867942" w14:paraId="6A010B5B" w14:textId="77777777" w:rsidTr="00FA6042">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9229A" w14:textId="63414ACE"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hAnsi="Arial" w:cs="Arial"/>
                <w:sz w:val="18"/>
                <w:szCs w:val="18"/>
                <w:lang w:val="it-IT"/>
              </w:rPr>
              <w:t>ZIL Ipotesi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119A0" w14:textId="2F938EDD" w:rsidR="00CC0F8E" w:rsidRPr="00656794" w:rsidRDefault="00CC0F8E" w:rsidP="00CC0F8E">
            <w:pPr>
              <w:spacing w:after="0" w:line="240" w:lineRule="auto"/>
              <w:ind w:left="114" w:right="872" w:hanging="6"/>
              <w:rPr>
                <w:rFonts w:ascii="Arial" w:eastAsia="Times New Roman" w:hAnsi="Arial" w:cs="Arial"/>
                <w:sz w:val="18"/>
                <w:szCs w:val="18"/>
                <w:lang w:val="it-IT" w:eastAsia="en-IE"/>
              </w:rPr>
            </w:pPr>
            <w:r w:rsidRPr="00656794">
              <w:rPr>
                <w:rFonts w:ascii="Arial" w:hAnsi="Arial" w:cs="Arial"/>
                <w:sz w:val="18"/>
                <w:szCs w:val="18"/>
                <w:lang w:val="it-IT"/>
              </w:rPr>
              <w:t xml:space="preserve">Vari pdf e documenti word che discutono ipotesi </w:t>
            </w:r>
            <w:r w:rsidR="00FF4562" w:rsidRPr="00656794">
              <w:rPr>
                <w:rFonts w:ascii="Arial" w:hAnsi="Arial" w:cs="Arial"/>
                <w:sz w:val="18"/>
                <w:szCs w:val="18"/>
                <w:lang w:val="it-IT"/>
              </w:rPr>
              <w:t>operative,</w:t>
            </w:r>
            <w:r w:rsidRPr="00656794">
              <w:rPr>
                <w:rFonts w:ascii="Arial" w:hAnsi="Arial" w:cs="Arial"/>
                <w:sz w:val="18"/>
                <w:szCs w:val="18"/>
                <w:lang w:val="it-IT"/>
              </w:rPr>
              <w:t xml:space="preserve"> tra cui l'adeguamento della volatilità</w:t>
            </w:r>
          </w:p>
        </w:tc>
      </w:tr>
      <w:tr w:rsidR="00CC0F8E" w:rsidRPr="00867942" w14:paraId="69AC0EAE" w14:textId="77777777" w:rsidTr="00FA6042">
        <w:trPr>
          <w:trHeight w:val="8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8A820" w14:textId="5439F719" w:rsidR="00CC0F8E" w:rsidRPr="00656794" w:rsidRDefault="00CC0F8E" w:rsidP="00CC0F8E">
            <w:pPr>
              <w:spacing w:after="0" w:line="240" w:lineRule="auto"/>
              <w:ind w:left="121"/>
              <w:rPr>
                <w:rFonts w:ascii="Arial" w:eastAsia="Times New Roman" w:hAnsi="Arial" w:cs="Arial"/>
                <w:sz w:val="18"/>
                <w:szCs w:val="18"/>
                <w:lang w:val="it-IT" w:eastAsia="en-IE"/>
              </w:rPr>
            </w:pPr>
            <w:r w:rsidRPr="00656794">
              <w:rPr>
                <w:rFonts w:ascii="Arial" w:hAnsi="Arial" w:cs="Arial"/>
                <w:sz w:val="18"/>
                <w:szCs w:val="18"/>
                <w:lang w:val="it-IT"/>
              </w:rPr>
              <w:t>Rapporti sulla solvibilità e sulle condizioni finanziarie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EA23A" w14:textId="45440087" w:rsidR="00CC0F8E" w:rsidRPr="00656794" w:rsidRDefault="00CC0F8E" w:rsidP="00CC0F8E">
            <w:pPr>
              <w:spacing w:after="0" w:line="240" w:lineRule="auto"/>
              <w:ind w:left="118"/>
              <w:rPr>
                <w:rFonts w:ascii="Arial" w:hAnsi="Arial" w:cs="Arial"/>
                <w:sz w:val="18"/>
                <w:szCs w:val="18"/>
                <w:lang w:val="it-IT"/>
              </w:rPr>
            </w:pPr>
            <w:r w:rsidRPr="00656794">
              <w:rPr>
                <w:rFonts w:ascii="Arial" w:hAnsi="Arial" w:cs="Arial"/>
                <w:sz w:val="18"/>
                <w:szCs w:val="18"/>
                <w:lang w:val="it-IT"/>
              </w:rPr>
              <w:t>SFCR ZIL 2019 e 2020;</w:t>
            </w:r>
          </w:p>
          <w:p w14:paraId="5E868513" w14:textId="68BF9972" w:rsidR="00CC0F8E" w:rsidRPr="00656794" w:rsidRDefault="00CC0F8E" w:rsidP="00CC0F8E">
            <w:pPr>
              <w:spacing w:after="0" w:line="240" w:lineRule="auto"/>
              <w:ind w:left="118"/>
              <w:rPr>
                <w:rFonts w:ascii="Arial" w:eastAsia="Times New Roman" w:hAnsi="Arial" w:cs="Arial"/>
                <w:sz w:val="18"/>
                <w:szCs w:val="18"/>
                <w:lang w:val="it-IT" w:eastAsia="en-IE"/>
              </w:rPr>
            </w:pPr>
            <w:r w:rsidRPr="00656794">
              <w:rPr>
                <w:rFonts w:ascii="Arial" w:hAnsi="Arial" w:cs="Arial"/>
                <w:sz w:val="18"/>
                <w:szCs w:val="18"/>
                <w:lang w:val="it-IT"/>
              </w:rPr>
              <w:t>2020 ZLAP SFCR</w:t>
            </w:r>
          </w:p>
        </w:tc>
      </w:tr>
      <w:tr w:rsidR="00CC0F8E" w:rsidRPr="00656794" w14:paraId="17D11C3F" w14:textId="77777777" w:rsidTr="00FA6042">
        <w:trPr>
          <w:trHeight w:val="6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57BEB" w14:textId="1E548302" w:rsidR="00CC0F8E" w:rsidRPr="00656794" w:rsidRDefault="00CC0F8E" w:rsidP="00CC0F8E">
            <w:pPr>
              <w:spacing w:after="0" w:line="240" w:lineRule="auto"/>
              <w:ind w:left="117"/>
              <w:rPr>
                <w:rFonts w:ascii="Arial" w:eastAsia="Times New Roman" w:hAnsi="Arial" w:cs="Arial"/>
                <w:sz w:val="18"/>
                <w:szCs w:val="18"/>
                <w:lang w:val="it-IT" w:eastAsia="en-IE"/>
              </w:rPr>
            </w:pPr>
            <w:r w:rsidRPr="00656794">
              <w:rPr>
                <w:rFonts w:ascii="Arial" w:hAnsi="Arial" w:cs="Arial"/>
                <w:sz w:val="18"/>
                <w:szCs w:val="18"/>
                <w:lang w:val="it-IT"/>
              </w:rPr>
              <w:t>Rapporti sulle disposizioni tecniche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FA2B1" w14:textId="587D39D8" w:rsidR="00CC0F8E" w:rsidRPr="00656794" w:rsidRDefault="00CC0F8E" w:rsidP="00CC0F8E">
            <w:pPr>
              <w:spacing w:after="0" w:line="240" w:lineRule="auto"/>
              <w:ind w:left="118"/>
              <w:rPr>
                <w:rFonts w:ascii="Arial" w:eastAsia="Times New Roman" w:hAnsi="Arial" w:cs="Arial"/>
                <w:sz w:val="18"/>
                <w:szCs w:val="18"/>
                <w:lang w:val="it-IT" w:eastAsia="en-IE"/>
              </w:rPr>
            </w:pPr>
            <w:r w:rsidRPr="00656794">
              <w:rPr>
                <w:rFonts w:ascii="Arial" w:hAnsi="Arial" w:cs="Arial"/>
                <w:sz w:val="18"/>
                <w:szCs w:val="18"/>
                <w:lang w:val="it-IT"/>
              </w:rPr>
              <w:t>Rapporti ZIL TP 2018, 2019 e 2020</w:t>
            </w:r>
          </w:p>
        </w:tc>
      </w:tr>
      <w:tr w:rsidR="00CC0F8E" w:rsidRPr="00656794" w14:paraId="225995DC" w14:textId="77777777" w:rsidTr="00FA6042">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4BCC4" w14:textId="53E73DA0" w:rsidR="00CC0F8E" w:rsidRPr="00656794" w:rsidRDefault="00CC0F8E" w:rsidP="00CC0F8E">
            <w:pPr>
              <w:spacing w:after="0" w:line="240" w:lineRule="auto"/>
              <w:ind w:left="128"/>
              <w:rPr>
                <w:rFonts w:ascii="Arial" w:eastAsia="Times New Roman" w:hAnsi="Arial" w:cs="Arial"/>
                <w:sz w:val="18"/>
                <w:szCs w:val="18"/>
                <w:lang w:val="it-IT" w:eastAsia="en-IE"/>
              </w:rPr>
            </w:pPr>
            <w:r w:rsidRPr="00656794">
              <w:rPr>
                <w:rFonts w:ascii="Arial" w:hAnsi="Arial" w:cs="Arial"/>
                <w:sz w:val="18"/>
                <w:szCs w:val="18"/>
                <w:lang w:val="it-IT"/>
              </w:rPr>
              <w:t>Bilancio d'esercizio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A7D66" w14:textId="57210788" w:rsidR="00CC0F8E" w:rsidRPr="00656794" w:rsidRDefault="00CC0F8E" w:rsidP="00CC0F8E">
            <w:pPr>
              <w:spacing w:after="0" w:line="240" w:lineRule="auto"/>
              <w:ind w:left="118"/>
              <w:rPr>
                <w:rFonts w:ascii="Arial" w:eastAsia="Times New Roman" w:hAnsi="Arial" w:cs="Arial"/>
                <w:sz w:val="18"/>
                <w:szCs w:val="18"/>
                <w:lang w:val="it-IT" w:eastAsia="en-IE"/>
              </w:rPr>
            </w:pPr>
            <w:r w:rsidRPr="00656794">
              <w:rPr>
                <w:rFonts w:ascii="Arial" w:hAnsi="Arial" w:cs="Arial"/>
                <w:sz w:val="18"/>
                <w:szCs w:val="18"/>
                <w:lang w:val="it-IT"/>
              </w:rPr>
              <w:t>Bilanci ZIL 2018, 2019 e 2020</w:t>
            </w:r>
          </w:p>
        </w:tc>
      </w:tr>
      <w:tr w:rsidR="00CC0F8E" w:rsidRPr="00656794" w14:paraId="379C8A0B" w14:textId="77777777" w:rsidTr="00FA6042">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6F0A9" w14:textId="09B32A75" w:rsidR="00CC0F8E" w:rsidRPr="00656794" w:rsidRDefault="00CC0F8E" w:rsidP="00CC0F8E">
            <w:pPr>
              <w:spacing w:after="0" w:line="240" w:lineRule="auto"/>
              <w:ind w:left="126"/>
              <w:rPr>
                <w:rFonts w:ascii="Arial" w:eastAsia="Times New Roman" w:hAnsi="Arial" w:cs="Arial"/>
                <w:sz w:val="18"/>
                <w:szCs w:val="18"/>
                <w:lang w:val="it-IT" w:eastAsia="en-IE"/>
              </w:rPr>
            </w:pPr>
            <w:r w:rsidRPr="00656794">
              <w:rPr>
                <w:rFonts w:ascii="Arial" w:hAnsi="Arial" w:cs="Arial"/>
                <w:sz w:val="18"/>
                <w:szCs w:val="18"/>
                <w:lang w:val="it-IT"/>
              </w:rPr>
              <w:t>Rapporti MCEV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B7823" w14:textId="292AD41C" w:rsidR="00CC0F8E" w:rsidRPr="00656794" w:rsidRDefault="00CC0F8E" w:rsidP="00CC0F8E">
            <w:pPr>
              <w:spacing w:after="0" w:line="240" w:lineRule="auto"/>
              <w:ind w:left="118"/>
              <w:rPr>
                <w:rFonts w:ascii="Arial" w:eastAsia="Times New Roman" w:hAnsi="Arial" w:cs="Arial"/>
                <w:sz w:val="18"/>
                <w:szCs w:val="18"/>
                <w:lang w:val="it-IT" w:eastAsia="en-IE"/>
              </w:rPr>
            </w:pPr>
            <w:r w:rsidRPr="00656794">
              <w:rPr>
                <w:rFonts w:ascii="Arial" w:hAnsi="Arial" w:cs="Arial"/>
                <w:sz w:val="18"/>
                <w:szCs w:val="18"/>
                <w:lang w:val="it-IT"/>
              </w:rPr>
              <w:t>Rapporti ZIL MCEV 2018, 2019 e 2020</w:t>
            </w:r>
          </w:p>
        </w:tc>
      </w:tr>
      <w:tr w:rsidR="00CC0F8E" w:rsidRPr="00867942" w14:paraId="6C1928F6" w14:textId="77777777" w:rsidTr="00FA6042">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88BBC" w14:textId="2E89363B" w:rsidR="00CC0F8E" w:rsidRPr="00656794" w:rsidRDefault="00CC0F8E" w:rsidP="00CC0F8E">
            <w:pPr>
              <w:spacing w:after="0" w:line="240" w:lineRule="auto"/>
              <w:ind w:left="121"/>
              <w:rPr>
                <w:rFonts w:ascii="Arial" w:eastAsia="Times New Roman" w:hAnsi="Arial" w:cs="Arial"/>
                <w:sz w:val="18"/>
                <w:szCs w:val="18"/>
                <w:lang w:val="it-IT" w:eastAsia="en-IE"/>
              </w:rPr>
            </w:pPr>
            <w:r w:rsidRPr="00656794">
              <w:rPr>
                <w:rFonts w:ascii="Arial" w:hAnsi="Arial" w:cs="Arial"/>
                <w:sz w:val="18"/>
                <w:szCs w:val="18"/>
                <w:lang w:val="it-IT"/>
              </w:rPr>
              <w:t>ORSA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24876" w14:textId="77777777" w:rsidR="00CC0F8E" w:rsidRPr="00656794" w:rsidRDefault="00CC0F8E" w:rsidP="00CC0F8E">
            <w:pPr>
              <w:spacing w:after="0" w:line="240" w:lineRule="auto"/>
              <w:ind w:left="118"/>
              <w:rPr>
                <w:rFonts w:ascii="Arial" w:hAnsi="Arial" w:cs="Arial"/>
                <w:sz w:val="18"/>
                <w:szCs w:val="18"/>
                <w:lang w:val="it-IT"/>
              </w:rPr>
            </w:pPr>
            <w:r w:rsidRPr="00656794">
              <w:rPr>
                <w:rFonts w:ascii="Arial" w:hAnsi="Arial" w:cs="Arial"/>
                <w:sz w:val="18"/>
                <w:szCs w:val="18"/>
                <w:lang w:val="it-IT"/>
              </w:rPr>
              <w:t>Rapporti ZIL ORSA 2019 e 2020;</w:t>
            </w:r>
          </w:p>
          <w:p w14:paraId="63FC9626" w14:textId="6A12DD10" w:rsidR="00CC0F8E" w:rsidRPr="00656794" w:rsidRDefault="00CC0F8E" w:rsidP="00CC0F8E">
            <w:pPr>
              <w:spacing w:after="0" w:line="240" w:lineRule="auto"/>
              <w:ind w:left="118"/>
              <w:rPr>
                <w:rFonts w:ascii="Arial" w:eastAsia="Times New Roman" w:hAnsi="Arial" w:cs="Arial"/>
                <w:sz w:val="18"/>
                <w:szCs w:val="18"/>
                <w:lang w:val="it-IT" w:eastAsia="en-IE"/>
              </w:rPr>
            </w:pPr>
            <w:r w:rsidRPr="00656794">
              <w:rPr>
                <w:rFonts w:ascii="Arial" w:hAnsi="Arial" w:cs="Arial"/>
                <w:sz w:val="18"/>
                <w:szCs w:val="18"/>
                <w:lang w:val="it-IT"/>
              </w:rPr>
              <w:t>Rapporto ZLAP ORSA 2020</w:t>
            </w:r>
          </w:p>
        </w:tc>
      </w:tr>
      <w:tr w:rsidR="00CC0F8E" w:rsidRPr="00867942" w14:paraId="13CD4895" w14:textId="77777777" w:rsidTr="00FA6042">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55A8F" w14:textId="4B2E3E39" w:rsidR="00CC0F8E" w:rsidRPr="00656794" w:rsidRDefault="00CC0F8E" w:rsidP="00CC0F8E">
            <w:pPr>
              <w:spacing w:after="0" w:line="240" w:lineRule="auto"/>
              <w:ind w:left="119" w:right="197" w:firstLine="2"/>
              <w:rPr>
                <w:rFonts w:ascii="Arial" w:eastAsia="Times New Roman" w:hAnsi="Arial" w:cs="Arial"/>
                <w:sz w:val="18"/>
                <w:szCs w:val="18"/>
                <w:lang w:val="it-IT" w:eastAsia="en-IE"/>
              </w:rPr>
            </w:pPr>
            <w:r w:rsidRPr="00656794">
              <w:rPr>
                <w:rFonts w:ascii="Arial" w:hAnsi="Arial" w:cs="Arial"/>
                <w:sz w:val="18"/>
                <w:szCs w:val="18"/>
                <w:lang w:val="it-IT"/>
              </w:rPr>
              <w:t>Allocazione strategica degli asset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FD6B9" w14:textId="6DD81FEE" w:rsidR="00CC0F8E" w:rsidRPr="00656794" w:rsidRDefault="00CC0F8E" w:rsidP="00CC0F8E">
            <w:pPr>
              <w:spacing w:after="0" w:line="240" w:lineRule="auto"/>
              <w:ind w:left="121"/>
              <w:rPr>
                <w:rFonts w:ascii="Arial" w:eastAsia="Times New Roman" w:hAnsi="Arial" w:cs="Arial"/>
                <w:sz w:val="18"/>
                <w:szCs w:val="18"/>
                <w:lang w:val="it-IT" w:eastAsia="en-IE"/>
              </w:rPr>
            </w:pPr>
            <w:r w:rsidRPr="00656794">
              <w:rPr>
                <w:rFonts w:ascii="Arial" w:hAnsi="Arial" w:cs="Arial"/>
                <w:sz w:val="18"/>
                <w:szCs w:val="18"/>
                <w:lang w:val="it-IT"/>
              </w:rPr>
              <w:t>Panoramica dei limiti di asset allocation di ZIL</w:t>
            </w:r>
          </w:p>
        </w:tc>
      </w:tr>
      <w:tr w:rsidR="00CC0F8E" w:rsidRPr="00867942" w14:paraId="08B5C9ED" w14:textId="77777777" w:rsidTr="00FA6042">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639A5" w14:textId="0A7ADE0E" w:rsidR="00CC0F8E" w:rsidRPr="00656794" w:rsidRDefault="00CC0F8E" w:rsidP="00CC0F8E">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 xml:space="preserve">   Fondi con profitto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E4DA6" w14:textId="174DF010" w:rsidR="00CC0F8E" w:rsidRPr="00656794" w:rsidRDefault="00CC0F8E" w:rsidP="00CC0F8E">
            <w:pPr>
              <w:spacing w:after="0" w:line="240" w:lineRule="auto"/>
              <w:ind w:left="121"/>
              <w:rPr>
                <w:rFonts w:ascii="Arial" w:eastAsia="Times New Roman" w:hAnsi="Arial" w:cs="Arial"/>
                <w:sz w:val="18"/>
                <w:szCs w:val="18"/>
                <w:lang w:val="it-IT" w:eastAsia="en-IE"/>
              </w:rPr>
            </w:pPr>
            <w:r w:rsidRPr="00656794">
              <w:rPr>
                <w:rFonts w:ascii="Arial" w:hAnsi="Arial" w:cs="Arial"/>
                <w:sz w:val="18"/>
                <w:szCs w:val="18"/>
                <w:lang w:val="it-IT"/>
              </w:rPr>
              <w:t>Panoramica dei fondi con profitto di ZIL</w:t>
            </w:r>
          </w:p>
        </w:tc>
      </w:tr>
      <w:tr w:rsidR="00CC0F8E" w:rsidRPr="00867942" w14:paraId="32134ADB" w14:textId="77777777" w:rsidTr="00FA6042">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03CE0" w14:textId="33769801" w:rsidR="00CC0F8E" w:rsidRPr="00656794" w:rsidRDefault="00CC0F8E" w:rsidP="00CC0F8E">
            <w:pPr>
              <w:spacing w:after="0" w:line="240" w:lineRule="auto"/>
              <w:ind w:left="128"/>
              <w:rPr>
                <w:rFonts w:ascii="Arial" w:eastAsia="Times New Roman" w:hAnsi="Arial" w:cs="Arial"/>
                <w:sz w:val="18"/>
                <w:szCs w:val="18"/>
                <w:lang w:val="it-IT" w:eastAsia="en-IE"/>
              </w:rPr>
            </w:pPr>
            <w:r w:rsidRPr="00656794">
              <w:rPr>
                <w:rFonts w:ascii="Arial" w:hAnsi="Arial" w:cs="Arial"/>
                <w:sz w:val="18"/>
                <w:szCs w:val="18"/>
                <w:lang w:val="it-IT"/>
              </w:rPr>
              <w:t>Panoramica del fondo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C248F" w14:textId="26D8D890"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hAnsi="Arial" w:cs="Arial"/>
                <w:sz w:val="18"/>
                <w:szCs w:val="18"/>
                <w:lang w:val="it-IT"/>
              </w:rPr>
              <w:t xml:space="preserve">Panoramica della scelta del fondo per </w:t>
            </w:r>
            <w:r w:rsidR="00236DFA">
              <w:rPr>
                <w:rFonts w:ascii="Arial" w:hAnsi="Arial" w:cs="Arial"/>
                <w:sz w:val="18"/>
                <w:szCs w:val="18"/>
                <w:lang w:val="it-IT"/>
              </w:rPr>
              <w:t>i</w:t>
            </w:r>
            <w:r w:rsidR="00236DFA" w:rsidRPr="00656794">
              <w:rPr>
                <w:rFonts w:ascii="Arial" w:hAnsi="Arial" w:cs="Arial"/>
                <w:sz w:val="18"/>
                <w:szCs w:val="18"/>
                <w:lang w:val="it-IT"/>
              </w:rPr>
              <w:t xml:space="preserve"> </w:t>
            </w:r>
            <w:r w:rsidR="00DC30A5">
              <w:rPr>
                <w:rFonts w:ascii="Arial" w:hAnsi="Arial" w:cs="Arial"/>
                <w:sz w:val="18"/>
                <w:szCs w:val="18"/>
                <w:lang w:val="it-IT"/>
              </w:rPr>
              <w:t>contraenti</w:t>
            </w:r>
            <w:r w:rsidRPr="00656794">
              <w:rPr>
                <w:rFonts w:ascii="Arial" w:hAnsi="Arial" w:cs="Arial"/>
                <w:sz w:val="18"/>
                <w:szCs w:val="18"/>
                <w:lang w:val="it-IT"/>
              </w:rPr>
              <w:t xml:space="preserve"> ZLAP</w:t>
            </w:r>
          </w:p>
        </w:tc>
      </w:tr>
      <w:tr w:rsidR="00CC0F8E" w:rsidRPr="00867942" w14:paraId="40526338" w14:textId="77777777" w:rsidTr="00FA6042">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84530" w14:textId="391D8BD8" w:rsidR="00CC0F8E" w:rsidRPr="00656794" w:rsidRDefault="00CC0F8E" w:rsidP="00CC0F8E">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Bilancio pro forma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308B9" w14:textId="1720C5BA" w:rsidR="00CC0F8E" w:rsidRPr="00656794" w:rsidRDefault="00CC0F8E" w:rsidP="00CC0F8E">
            <w:pPr>
              <w:spacing w:after="0" w:line="240" w:lineRule="auto"/>
              <w:ind w:left="116" w:right="1387"/>
              <w:rPr>
                <w:rFonts w:ascii="Arial" w:eastAsia="Times New Roman" w:hAnsi="Arial" w:cs="Arial"/>
                <w:sz w:val="18"/>
                <w:szCs w:val="18"/>
                <w:lang w:val="it-IT" w:eastAsia="en-IE"/>
              </w:rPr>
            </w:pPr>
            <w:r w:rsidRPr="00656794">
              <w:rPr>
                <w:rFonts w:ascii="Arial" w:hAnsi="Arial" w:cs="Arial"/>
                <w:sz w:val="18"/>
                <w:szCs w:val="18"/>
                <w:lang w:val="it-IT"/>
              </w:rPr>
              <w:t>ZLAP elaborazioni di bilancio pro forma comprensive di corrispettivo da pagare; Bilancio pro forma ZIL</w:t>
            </w:r>
          </w:p>
        </w:tc>
      </w:tr>
      <w:tr w:rsidR="00CC0F8E" w:rsidRPr="00867942" w14:paraId="6A03625A" w14:textId="77777777" w:rsidTr="00FA6042">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53628" w14:textId="09C4901F" w:rsidR="00CC0F8E" w:rsidRPr="00656794" w:rsidRDefault="00CC0F8E" w:rsidP="00CC0F8E">
            <w:pPr>
              <w:spacing w:after="0" w:line="240" w:lineRule="auto"/>
              <w:ind w:left="121"/>
              <w:rPr>
                <w:rFonts w:ascii="Arial" w:eastAsia="Times New Roman" w:hAnsi="Arial" w:cs="Arial"/>
                <w:sz w:val="18"/>
                <w:szCs w:val="18"/>
                <w:lang w:val="it-IT" w:eastAsia="en-IE"/>
              </w:rPr>
            </w:pPr>
            <w:r w:rsidRPr="00656794">
              <w:rPr>
                <w:rFonts w:ascii="Arial" w:hAnsi="Arial" w:cs="Arial"/>
                <w:sz w:val="18"/>
                <w:szCs w:val="18"/>
                <w:lang w:val="it-IT"/>
              </w:rPr>
              <w:lastRenderedPageBreak/>
              <w:t>QRT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B7C11" w14:textId="5F4E204C" w:rsidR="00CC0F8E" w:rsidRPr="00656794" w:rsidRDefault="00CC0F8E" w:rsidP="00CC0F8E">
            <w:pPr>
              <w:spacing w:after="0" w:line="240" w:lineRule="auto"/>
              <w:ind w:left="121"/>
              <w:rPr>
                <w:rFonts w:ascii="Arial" w:eastAsia="Times New Roman" w:hAnsi="Arial" w:cs="Arial"/>
                <w:sz w:val="18"/>
                <w:szCs w:val="18"/>
                <w:lang w:val="it-IT" w:eastAsia="en-IE"/>
              </w:rPr>
            </w:pPr>
            <w:r w:rsidRPr="00656794">
              <w:rPr>
                <w:rFonts w:ascii="Arial" w:hAnsi="Arial" w:cs="Arial"/>
                <w:sz w:val="18"/>
                <w:szCs w:val="18"/>
                <w:lang w:val="it-IT"/>
              </w:rPr>
              <w:t>Alcuni QRT ZIL del 2019 e del 2020</w:t>
            </w:r>
          </w:p>
        </w:tc>
      </w:tr>
      <w:tr w:rsidR="00CC0F8E" w:rsidRPr="00867942" w14:paraId="49342BD8" w14:textId="77777777" w:rsidTr="00FA6042">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592DE" w14:textId="3E1121FD" w:rsidR="00CC0F8E" w:rsidRPr="00656794" w:rsidRDefault="00CC0F8E" w:rsidP="00CC0F8E">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Panoramica dei dipendenti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01B4E" w14:textId="7CBD706B" w:rsidR="00CC0F8E" w:rsidRPr="00656794" w:rsidRDefault="00CC0F8E" w:rsidP="00CC0F8E">
            <w:pPr>
              <w:spacing w:after="0" w:line="240" w:lineRule="auto"/>
              <w:ind w:left="126"/>
              <w:rPr>
                <w:rFonts w:ascii="Arial" w:eastAsia="Times New Roman" w:hAnsi="Arial" w:cs="Arial"/>
                <w:sz w:val="18"/>
                <w:szCs w:val="18"/>
                <w:lang w:val="it-IT" w:eastAsia="en-IE"/>
              </w:rPr>
            </w:pPr>
            <w:r w:rsidRPr="00656794">
              <w:rPr>
                <w:rFonts w:ascii="Arial" w:hAnsi="Arial" w:cs="Arial"/>
                <w:sz w:val="18"/>
                <w:szCs w:val="18"/>
                <w:lang w:val="it-IT"/>
              </w:rPr>
              <w:t>Ripartizione dei dipendenti ZIL e de</w:t>
            </w:r>
            <w:r w:rsidR="00A9166B">
              <w:rPr>
                <w:rFonts w:ascii="Arial" w:hAnsi="Arial" w:cs="Arial"/>
                <w:sz w:val="18"/>
                <w:szCs w:val="18"/>
                <w:lang w:val="it-IT"/>
              </w:rPr>
              <w:t xml:space="preserve">l personale </w:t>
            </w:r>
            <w:r w:rsidRPr="00656794">
              <w:rPr>
                <w:rFonts w:ascii="Arial" w:hAnsi="Arial" w:cs="Arial"/>
                <w:sz w:val="18"/>
                <w:szCs w:val="18"/>
                <w:lang w:val="it-IT"/>
              </w:rPr>
              <w:t>distaccat</w:t>
            </w:r>
            <w:r w:rsidR="00A9166B">
              <w:rPr>
                <w:rFonts w:ascii="Arial" w:hAnsi="Arial" w:cs="Arial"/>
                <w:sz w:val="18"/>
                <w:szCs w:val="18"/>
                <w:lang w:val="it-IT"/>
              </w:rPr>
              <w:t>o</w:t>
            </w:r>
          </w:p>
        </w:tc>
      </w:tr>
      <w:tr w:rsidR="00CC0F8E" w:rsidRPr="00867942" w14:paraId="2AC0EFF0" w14:textId="77777777" w:rsidTr="00FA6042">
        <w:trPr>
          <w:trHeight w:val="12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F8A5B" w14:textId="01E13F84" w:rsidR="00CC0F8E" w:rsidRPr="00656794" w:rsidRDefault="00CC0F8E" w:rsidP="00CC0F8E">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Documentazione del prodotto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DA550" w14:textId="528B38E0" w:rsidR="00CC0F8E" w:rsidRPr="00656794" w:rsidRDefault="00CC0F8E" w:rsidP="00CC0F8E">
            <w:pPr>
              <w:spacing w:before="6" w:after="0" w:line="240" w:lineRule="auto"/>
              <w:ind w:left="117"/>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 xml:space="preserve">Esempi di documentazione per </w:t>
            </w:r>
            <w:r w:rsidR="00DC30A5">
              <w:rPr>
                <w:rFonts w:ascii="Arial" w:eastAsia="Times New Roman" w:hAnsi="Arial" w:cs="Arial"/>
                <w:sz w:val="18"/>
                <w:szCs w:val="18"/>
                <w:lang w:val="it-IT" w:eastAsia="en-IE"/>
              </w:rPr>
              <w:t>contraenti</w:t>
            </w:r>
            <w:r w:rsidRPr="00656794">
              <w:rPr>
                <w:rFonts w:ascii="Arial" w:eastAsia="Times New Roman" w:hAnsi="Arial" w:cs="Arial"/>
                <w:sz w:val="18"/>
                <w:szCs w:val="18"/>
                <w:lang w:val="it-IT" w:eastAsia="en-IE"/>
              </w:rPr>
              <w:t xml:space="preserve"> ZIL unit-linked inclusi </w:t>
            </w:r>
            <w:r w:rsidR="0094302E">
              <w:rPr>
                <w:rFonts w:ascii="Arial" w:eastAsia="Times New Roman" w:hAnsi="Arial" w:cs="Arial"/>
                <w:sz w:val="18"/>
                <w:szCs w:val="18"/>
                <w:lang w:val="it-IT" w:eastAsia="en-IE"/>
              </w:rPr>
              <w:t>condizioni contrattuali</w:t>
            </w:r>
            <w:r w:rsidRPr="00656794">
              <w:rPr>
                <w:rFonts w:ascii="Arial" w:eastAsia="Times New Roman" w:hAnsi="Arial" w:cs="Arial"/>
                <w:sz w:val="18"/>
                <w:szCs w:val="18"/>
                <w:lang w:val="it-IT" w:eastAsia="en-IE"/>
              </w:rPr>
              <w:t>, documento KID, linee guida per gli investimenti;</w:t>
            </w:r>
          </w:p>
          <w:p w14:paraId="0439716C" w14:textId="727B2A95" w:rsidR="00CC0F8E" w:rsidRPr="00656794" w:rsidRDefault="00CC0F8E" w:rsidP="00CC0F8E">
            <w:pPr>
              <w:spacing w:before="6" w:after="0" w:line="240" w:lineRule="auto"/>
              <w:ind w:left="117"/>
              <w:rPr>
                <w:rFonts w:ascii="Arial" w:eastAsia="Times New Roman" w:hAnsi="Arial" w:cs="Arial"/>
                <w:b/>
                <w:bCs/>
                <w:sz w:val="18"/>
                <w:szCs w:val="18"/>
                <w:lang w:val="it-IT" w:eastAsia="en-IE"/>
              </w:rPr>
            </w:pPr>
            <w:r w:rsidRPr="00656794">
              <w:rPr>
                <w:rFonts w:ascii="Arial" w:eastAsia="Times New Roman" w:hAnsi="Arial" w:cs="Arial"/>
                <w:sz w:val="18"/>
                <w:szCs w:val="18"/>
                <w:lang w:val="it-IT" w:eastAsia="en-IE"/>
              </w:rPr>
              <w:t xml:space="preserve">Esempi di documentazione per </w:t>
            </w:r>
            <w:r w:rsidR="00DC30A5">
              <w:rPr>
                <w:rFonts w:ascii="Arial" w:eastAsia="Times New Roman" w:hAnsi="Arial" w:cs="Arial"/>
                <w:sz w:val="18"/>
                <w:szCs w:val="18"/>
                <w:lang w:val="it-IT" w:eastAsia="en-IE"/>
              </w:rPr>
              <w:t>contraenti</w:t>
            </w:r>
            <w:r w:rsidRPr="00656794">
              <w:rPr>
                <w:rFonts w:ascii="Arial" w:eastAsia="Times New Roman" w:hAnsi="Arial" w:cs="Arial"/>
                <w:sz w:val="18"/>
                <w:szCs w:val="18"/>
                <w:lang w:val="it-IT" w:eastAsia="en-IE"/>
              </w:rPr>
              <w:t xml:space="preserve"> ZLAP unit-linked, comprese le specifiche del prodotto per ciascun tipo di prodotto trasferito come parte del</w:t>
            </w:r>
            <w:r w:rsidR="00F470FD">
              <w:rPr>
                <w:rFonts w:ascii="Arial" w:eastAsia="Times New Roman" w:hAnsi="Arial" w:cs="Arial"/>
                <w:sz w:val="18"/>
                <w:szCs w:val="18"/>
                <w:lang w:val="it-IT" w:eastAsia="en-IE"/>
              </w:rPr>
              <w:t>l’</w:t>
            </w:r>
            <w:r w:rsidR="00AE4256">
              <w:rPr>
                <w:rFonts w:ascii="Arial" w:eastAsia="Times New Roman" w:hAnsi="Arial" w:cs="Arial"/>
                <w:sz w:val="18"/>
                <w:szCs w:val="18"/>
                <w:lang w:val="it-IT" w:eastAsia="en-IE"/>
              </w:rPr>
              <w:t>Atto di Trasferimento</w:t>
            </w:r>
            <w:r w:rsidRPr="00656794">
              <w:rPr>
                <w:rFonts w:ascii="Arial" w:eastAsia="Times New Roman" w:hAnsi="Arial" w:cs="Arial"/>
                <w:sz w:val="18"/>
                <w:szCs w:val="18"/>
                <w:lang w:val="it-IT" w:eastAsia="en-IE"/>
              </w:rPr>
              <w:t>;</w:t>
            </w:r>
            <w:r w:rsidRPr="00656794">
              <w:rPr>
                <w:lang w:val="it-IT"/>
              </w:rPr>
              <w:t xml:space="preserve"> </w:t>
            </w:r>
            <w:r w:rsidRPr="00656794">
              <w:rPr>
                <w:rFonts w:ascii="Arial" w:eastAsia="Times New Roman" w:hAnsi="Arial" w:cs="Arial"/>
                <w:sz w:val="18"/>
                <w:szCs w:val="18"/>
                <w:lang w:val="it-IT" w:eastAsia="en-IE"/>
              </w:rPr>
              <w:t>L'offerta tecnica è ripartita per tipologia di trasferimento di prodotti.</w:t>
            </w:r>
          </w:p>
        </w:tc>
      </w:tr>
      <w:tr w:rsidR="00CC0F8E" w:rsidRPr="00867942" w14:paraId="1DECC265" w14:textId="77777777" w:rsidTr="00FA6042">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18A67" w14:textId="5BBE30F8" w:rsidR="00CC0F8E" w:rsidRPr="00656794" w:rsidRDefault="00CC0F8E" w:rsidP="00CC0F8E">
            <w:pPr>
              <w:spacing w:after="0" w:line="240" w:lineRule="auto"/>
              <w:ind w:left="116" w:right="227" w:firstLine="10"/>
              <w:rPr>
                <w:rFonts w:ascii="Arial" w:eastAsia="Times New Roman" w:hAnsi="Arial" w:cs="Arial"/>
                <w:sz w:val="18"/>
                <w:szCs w:val="18"/>
                <w:lang w:val="it-IT" w:eastAsia="en-IE"/>
              </w:rPr>
            </w:pPr>
            <w:r w:rsidRPr="00656794">
              <w:rPr>
                <w:rFonts w:ascii="Arial" w:hAnsi="Arial" w:cs="Arial"/>
                <w:sz w:val="18"/>
                <w:szCs w:val="18"/>
                <w:lang w:val="it-IT"/>
              </w:rPr>
              <w:t xml:space="preserve">Contesto </w:t>
            </w:r>
            <w:r w:rsidR="00F83EE6">
              <w:rPr>
                <w:rFonts w:ascii="Arial" w:hAnsi="Arial" w:cs="Arial"/>
                <w:sz w:val="18"/>
                <w:szCs w:val="18"/>
                <w:lang w:val="it-IT"/>
              </w:rPr>
              <w:t>del</w:t>
            </w:r>
            <w:r w:rsidR="00F470FD">
              <w:rPr>
                <w:rFonts w:ascii="Arial" w:hAnsi="Arial" w:cs="Arial"/>
                <w:sz w:val="18"/>
                <w:szCs w:val="18"/>
                <w:lang w:val="it-IT"/>
              </w:rPr>
              <w:t>l’</w:t>
            </w:r>
            <w:r w:rsidR="00AE4256">
              <w:rPr>
                <w:rFonts w:ascii="Arial" w:hAnsi="Arial" w:cs="Arial"/>
                <w:sz w:val="18"/>
                <w:szCs w:val="18"/>
                <w:lang w:val="it-IT"/>
              </w:rPr>
              <w:t>Atto di Trasferimento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ECAE6" w14:textId="77777777" w:rsidR="00CC0F8E" w:rsidRPr="00656794" w:rsidRDefault="00CC0F8E" w:rsidP="00CC0F8E">
            <w:pPr>
              <w:spacing w:after="0" w:line="240" w:lineRule="auto"/>
              <w:ind w:left="12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Vari documenti che delineano il calendario e le pietre miliari del progetto;</w:t>
            </w:r>
          </w:p>
          <w:p w14:paraId="0C1F0AC4" w14:textId="626AA30F" w:rsidR="00CC0F8E" w:rsidRPr="004A39A6" w:rsidRDefault="00CC0F8E" w:rsidP="00CC0F8E">
            <w:pPr>
              <w:spacing w:after="0" w:line="240" w:lineRule="auto"/>
              <w:ind w:left="12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Delibera del Consiglio di Amministrazione</w:t>
            </w:r>
          </w:p>
        </w:tc>
      </w:tr>
      <w:tr w:rsidR="00CC0F8E" w:rsidRPr="00656794" w14:paraId="47EC081B" w14:textId="77777777" w:rsidTr="00FA6042">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A5138" w14:textId="16B5DA0F" w:rsidR="00CC0F8E" w:rsidRPr="00656794" w:rsidRDefault="00CC0F8E" w:rsidP="00CC0F8E">
            <w:pPr>
              <w:spacing w:after="0" w:line="240" w:lineRule="auto"/>
              <w:rPr>
                <w:rFonts w:ascii="Arial" w:eastAsia="Times New Roman" w:hAnsi="Arial" w:cs="Arial"/>
                <w:sz w:val="18"/>
                <w:szCs w:val="18"/>
                <w:lang w:val="it-IT" w:eastAsia="en-IE"/>
              </w:rPr>
            </w:pPr>
            <w:r w:rsidRPr="00656794">
              <w:rPr>
                <w:rFonts w:ascii="Arial" w:hAnsi="Arial" w:cs="Arial"/>
                <w:sz w:val="18"/>
                <w:szCs w:val="18"/>
                <w:lang w:val="it-IT"/>
              </w:rPr>
              <w:t xml:space="preserve">   Struttura del gruppo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A917C" w14:textId="42733BE8" w:rsidR="00CC0F8E" w:rsidRPr="00656794" w:rsidRDefault="00CC0F8E" w:rsidP="00CC0F8E">
            <w:pPr>
              <w:spacing w:after="0" w:line="240" w:lineRule="auto"/>
              <w:ind w:left="121"/>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Organigrammi ZLAP e ZIL</w:t>
            </w:r>
          </w:p>
        </w:tc>
      </w:tr>
      <w:tr w:rsidR="00CC0F8E" w:rsidRPr="00867942" w14:paraId="6CF96980" w14:textId="77777777" w:rsidTr="00BA5AE7">
        <w:trPr>
          <w:trHeight w:val="30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FC747" w14:textId="64A9053E" w:rsidR="00CC0F8E" w:rsidRPr="00656794" w:rsidRDefault="00CC0F8E" w:rsidP="00CC0F8E">
            <w:pPr>
              <w:spacing w:after="0" w:line="240" w:lineRule="auto"/>
              <w:ind w:left="113" w:right="137" w:firstLine="8"/>
              <w:rPr>
                <w:rFonts w:ascii="Arial" w:eastAsia="Times New Roman" w:hAnsi="Arial" w:cs="Arial"/>
                <w:sz w:val="18"/>
                <w:szCs w:val="18"/>
                <w:lang w:val="it-IT" w:eastAsia="en-IE"/>
              </w:rPr>
            </w:pPr>
            <w:r w:rsidRPr="00656794">
              <w:rPr>
                <w:rFonts w:ascii="Arial" w:hAnsi="Arial" w:cs="Arial"/>
                <w:sz w:val="18"/>
                <w:szCs w:val="18"/>
                <w:lang w:val="it-IT"/>
              </w:rPr>
              <w:t>Comunicazione con il regolatore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CD5F9" w14:textId="34841F05" w:rsidR="00CC0F8E" w:rsidRPr="00656794" w:rsidRDefault="00CC0F8E" w:rsidP="00CC0F8E">
            <w:pPr>
              <w:spacing w:after="0" w:line="240" w:lineRule="auto"/>
              <w:ind w:left="127"/>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Documentazione di confronto con IVASS</w:t>
            </w:r>
          </w:p>
        </w:tc>
      </w:tr>
      <w:tr w:rsidR="00CC0F8E" w:rsidRPr="00867942" w14:paraId="737A2BD6" w14:textId="77777777" w:rsidTr="00FA6042">
        <w:trPr>
          <w:trHeight w:val="8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14E9C" w14:textId="49341353" w:rsidR="00CC0F8E" w:rsidRPr="00656794" w:rsidRDefault="00CC0F8E" w:rsidP="00CC0F8E">
            <w:pPr>
              <w:spacing w:after="0" w:line="240" w:lineRule="auto"/>
              <w:ind w:left="122" w:right="157" w:firstLine="5"/>
              <w:rPr>
                <w:rFonts w:ascii="Arial" w:eastAsia="Times New Roman" w:hAnsi="Arial" w:cs="Arial"/>
                <w:sz w:val="18"/>
                <w:szCs w:val="18"/>
                <w:lang w:val="it-IT" w:eastAsia="en-IE"/>
              </w:rPr>
            </w:pPr>
            <w:r w:rsidRPr="00656794">
              <w:rPr>
                <w:rFonts w:ascii="Arial" w:hAnsi="Arial" w:cs="Arial"/>
                <w:sz w:val="18"/>
                <w:szCs w:val="18"/>
                <w:lang w:val="it-IT"/>
              </w:rPr>
              <w:t>Propensione al rischio e governance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61EF5" w14:textId="2A69700A"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 xml:space="preserve">Vari documenti che descrivono il Risk Appetite e </w:t>
            </w:r>
            <w:r w:rsidR="00F470FD" w:rsidRPr="00656794">
              <w:rPr>
                <w:rFonts w:ascii="Arial" w:eastAsia="Times New Roman" w:hAnsi="Arial" w:cs="Arial"/>
                <w:sz w:val="18"/>
                <w:szCs w:val="18"/>
                <w:lang w:val="it-IT" w:eastAsia="en-IE"/>
              </w:rPr>
              <w:t>la dashboard</w:t>
            </w:r>
            <w:r w:rsidRPr="00656794">
              <w:rPr>
                <w:rFonts w:ascii="Arial" w:eastAsia="Times New Roman" w:hAnsi="Arial" w:cs="Arial"/>
                <w:sz w:val="18"/>
                <w:szCs w:val="18"/>
                <w:lang w:val="it-IT" w:eastAsia="en-IE"/>
              </w:rPr>
              <w:t xml:space="preserve"> dei rischi di ZIL; ZIL Politica di gestione del capitale 2020;</w:t>
            </w:r>
          </w:p>
          <w:p w14:paraId="02CE6ADC" w14:textId="29FBF039"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 xml:space="preserve">ZIL </w:t>
            </w:r>
            <w:r w:rsidR="00AE4256">
              <w:rPr>
                <w:rFonts w:ascii="Arial" w:eastAsia="Times New Roman" w:hAnsi="Arial" w:cs="Arial"/>
                <w:sz w:val="18"/>
                <w:szCs w:val="18"/>
                <w:lang w:val="it-IT" w:eastAsia="en-IE"/>
              </w:rPr>
              <w:t>Atto di Trasferimento</w:t>
            </w:r>
            <w:r w:rsidRPr="00656794">
              <w:rPr>
                <w:rFonts w:ascii="Arial" w:eastAsia="Times New Roman" w:hAnsi="Arial" w:cs="Arial"/>
                <w:sz w:val="18"/>
                <w:szCs w:val="18"/>
                <w:lang w:val="it-IT" w:eastAsia="en-IE"/>
              </w:rPr>
              <w:t xml:space="preserve"> di gestione del capitale 2020;</w:t>
            </w:r>
          </w:p>
          <w:p w14:paraId="5BEF17E9" w14:textId="77777777"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Riepilogo del profilo di rischio totale ZLAP;</w:t>
            </w:r>
          </w:p>
          <w:p w14:paraId="7CE8B67A" w14:textId="77777777"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ZLAP Dichiarazione e quadro sulla propensione al rischio;</w:t>
            </w:r>
          </w:p>
          <w:p w14:paraId="6F859A37" w14:textId="06AD5AD6"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Quadro di gestione del rischio aziendale ZLAP</w:t>
            </w:r>
          </w:p>
        </w:tc>
      </w:tr>
      <w:tr w:rsidR="00CC0F8E" w:rsidRPr="00867942" w14:paraId="21DFEFDA" w14:textId="77777777" w:rsidTr="00BA5AE7">
        <w:trPr>
          <w:trHeight w:val="3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125B8" w14:textId="4F8C5624" w:rsidR="00CC0F8E" w:rsidRPr="00656794" w:rsidRDefault="00CC0F8E" w:rsidP="00CC0F8E">
            <w:pPr>
              <w:spacing w:after="0" w:line="240" w:lineRule="auto"/>
              <w:ind w:left="122" w:right="157" w:firstLine="5"/>
              <w:rPr>
                <w:rFonts w:ascii="Arial" w:eastAsia="Times New Roman" w:hAnsi="Arial" w:cs="Arial"/>
                <w:color w:val="000000"/>
                <w:sz w:val="18"/>
                <w:szCs w:val="18"/>
                <w:shd w:val="clear" w:color="auto" w:fill="FFFFFF"/>
                <w:lang w:val="it-IT" w:eastAsia="en-IE"/>
              </w:rPr>
            </w:pPr>
            <w:r w:rsidRPr="00656794">
              <w:rPr>
                <w:rFonts w:ascii="Arial" w:hAnsi="Arial" w:cs="Arial"/>
                <w:sz w:val="18"/>
                <w:szCs w:val="18"/>
                <w:lang w:val="it-IT"/>
              </w:rPr>
              <w:t>Prodotto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0F2D0" w14:textId="2FD9302F"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Descrizione dei prodotti in portafoglio</w:t>
            </w:r>
          </w:p>
        </w:tc>
      </w:tr>
      <w:tr w:rsidR="00CC0F8E" w:rsidRPr="00867942" w14:paraId="6BB5E0BE" w14:textId="77777777" w:rsidTr="00BA5AE7">
        <w:trPr>
          <w:trHeight w:val="4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0A924" w14:textId="6016DC06" w:rsidR="00CC0F8E" w:rsidRPr="00656794" w:rsidRDefault="00CC0F8E" w:rsidP="00CC0F8E">
            <w:pPr>
              <w:spacing w:after="0" w:line="240" w:lineRule="auto"/>
              <w:ind w:left="122" w:right="157" w:firstLine="5"/>
              <w:rPr>
                <w:rFonts w:ascii="Arial" w:eastAsia="Times New Roman" w:hAnsi="Arial" w:cs="Arial"/>
                <w:color w:val="000000"/>
                <w:sz w:val="18"/>
                <w:szCs w:val="18"/>
                <w:shd w:val="clear" w:color="auto" w:fill="FFFFFF"/>
                <w:lang w:val="it-IT" w:eastAsia="en-IE"/>
              </w:rPr>
            </w:pPr>
            <w:r w:rsidRPr="00656794">
              <w:rPr>
                <w:rFonts w:ascii="Arial" w:hAnsi="Arial" w:cs="Arial"/>
                <w:sz w:val="18"/>
                <w:szCs w:val="18"/>
                <w:lang w:val="it-IT"/>
              </w:rPr>
              <w:t>Condotta verso il cliente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5B60D" w14:textId="7F7849C7"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Vari documenti che descrivono una panoramica del quadro di condotta in vigore in ZIL</w:t>
            </w:r>
          </w:p>
        </w:tc>
      </w:tr>
      <w:tr w:rsidR="00CC0F8E" w:rsidRPr="00867942" w14:paraId="11B37AE8" w14:textId="77777777" w:rsidTr="00BA5AE7">
        <w:trPr>
          <w:trHeight w:val="2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6FD9B" w14:textId="7474593D" w:rsidR="00CC0F8E" w:rsidRPr="00656794" w:rsidRDefault="00CC0F8E" w:rsidP="00CC0F8E">
            <w:pPr>
              <w:spacing w:after="0" w:line="240" w:lineRule="auto"/>
              <w:ind w:left="122" w:right="157" w:firstLine="5"/>
              <w:rPr>
                <w:rFonts w:ascii="Arial" w:eastAsia="Times New Roman" w:hAnsi="Arial" w:cs="Arial"/>
                <w:color w:val="000000"/>
                <w:sz w:val="18"/>
                <w:szCs w:val="18"/>
                <w:shd w:val="clear" w:color="auto" w:fill="FFFFFF"/>
                <w:lang w:val="it-IT" w:eastAsia="en-IE"/>
              </w:rPr>
            </w:pPr>
            <w:r w:rsidRPr="00656794">
              <w:rPr>
                <w:rFonts w:ascii="Arial" w:hAnsi="Arial" w:cs="Arial"/>
                <w:sz w:val="18"/>
                <w:szCs w:val="18"/>
                <w:lang w:val="it-IT"/>
              </w:rPr>
              <w:t>Imposta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BE23F" w14:textId="234BECBA"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Sintesi delle considerazioni fiscali ZIL a seguito del</w:t>
            </w:r>
            <w:r w:rsidR="00F470FD">
              <w:rPr>
                <w:rFonts w:ascii="Arial" w:eastAsia="Times New Roman" w:hAnsi="Arial" w:cs="Arial"/>
                <w:sz w:val="18"/>
                <w:szCs w:val="18"/>
                <w:lang w:val="it-IT" w:eastAsia="en-IE"/>
              </w:rPr>
              <w:t>l’</w:t>
            </w:r>
            <w:r w:rsidR="00AE4256">
              <w:rPr>
                <w:rFonts w:ascii="Arial" w:eastAsia="Times New Roman" w:hAnsi="Arial" w:cs="Arial"/>
                <w:sz w:val="18"/>
                <w:szCs w:val="18"/>
                <w:lang w:val="it-IT" w:eastAsia="en-IE"/>
              </w:rPr>
              <w:t>Atto di Trasferimento</w:t>
            </w:r>
          </w:p>
        </w:tc>
      </w:tr>
      <w:tr w:rsidR="00CC0F8E" w:rsidRPr="00867942" w14:paraId="5DAA2792" w14:textId="77777777" w:rsidTr="00FA6042">
        <w:trPr>
          <w:trHeight w:val="8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37C78" w14:textId="753111B0" w:rsidR="00CC0F8E" w:rsidRPr="00656794" w:rsidRDefault="00CC0F8E" w:rsidP="00CC0F8E">
            <w:pPr>
              <w:spacing w:after="0" w:line="240" w:lineRule="auto"/>
              <w:ind w:left="122" w:right="157" w:firstLine="5"/>
              <w:rPr>
                <w:rFonts w:ascii="Arial" w:eastAsia="Times New Roman" w:hAnsi="Arial" w:cs="Arial"/>
                <w:color w:val="000000"/>
                <w:sz w:val="18"/>
                <w:szCs w:val="18"/>
                <w:shd w:val="clear" w:color="auto" w:fill="FFFFFF"/>
                <w:lang w:val="it-IT" w:eastAsia="en-IE"/>
              </w:rPr>
            </w:pPr>
            <w:r w:rsidRPr="00656794">
              <w:rPr>
                <w:rFonts w:ascii="Arial" w:hAnsi="Arial" w:cs="Arial"/>
                <w:sz w:val="18"/>
                <w:szCs w:val="18"/>
                <w:lang w:val="it-IT"/>
              </w:rPr>
              <w:t>Previnet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DB6E4" w14:textId="45BD6870" w:rsidR="00CC0F8E" w:rsidRPr="00656794" w:rsidRDefault="00CC0F8E" w:rsidP="00446E83">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Vari documenti che forniscono una panoramica di Previnet incluso il profilo dell'azienda,</w:t>
            </w:r>
            <w:r w:rsidR="00446E83">
              <w:rPr>
                <w:rFonts w:ascii="Arial" w:eastAsia="Times New Roman" w:hAnsi="Arial" w:cs="Arial"/>
                <w:sz w:val="18"/>
                <w:szCs w:val="18"/>
                <w:lang w:val="it-IT" w:eastAsia="en-IE"/>
              </w:rPr>
              <w:t xml:space="preserve"> </w:t>
            </w:r>
            <w:r w:rsidRPr="00656794">
              <w:rPr>
                <w:rFonts w:ascii="Arial" w:eastAsia="Times New Roman" w:hAnsi="Arial" w:cs="Arial"/>
                <w:sz w:val="18"/>
                <w:szCs w:val="18"/>
                <w:lang w:val="it-IT" w:eastAsia="en-IE"/>
              </w:rPr>
              <w:t>clienti e servizi forniti;</w:t>
            </w:r>
          </w:p>
          <w:p w14:paraId="56ADFBB4" w14:textId="32C55EA2" w:rsidR="00CC0F8E" w:rsidRPr="00656794" w:rsidRDefault="00AE4256" w:rsidP="00CC0F8E">
            <w:pPr>
              <w:spacing w:after="0" w:line="240" w:lineRule="auto"/>
              <w:ind w:left="116"/>
              <w:rPr>
                <w:rFonts w:ascii="Arial" w:eastAsia="Times New Roman" w:hAnsi="Arial" w:cs="Arial"/>
                <w:sz w:val="18"/>
                <w:szCs w:val="18"/>
                <w:lang w:val="it-IT" w:eastAsia="en-IE"/>
              </w:rPr>
            </w:pPr>
            <w:r>
              <w:rPr>
                <w:rFonts w:ascii="Arial" w:eastAsia="Times New Roman" w:hAnsi="Arial" w:cs="Arial"/>
                <w:sz w:val="18"/>
                <w:szCs w:val="18"/>
                <w:lang w:val="it-IT" w:eastAsia="en-IE"/>
              </w:rPr>
              <w:t>Atto di Trasferimento</w:t>
            </w:r>
            <w:r w:rsidR="00CC0F8E" w:rsidRPr="00656794">
              <w:rPr>
                <w:rFonts w:ascii="Arial" w:eastAsia="Times New Roman" w:hAnsi="Arial" w:cs="Arial"/>
                <w:sz w:val="18"/>
                <w:szCs w:val="18"/>
                <w:lang w:val="it-IT" w:eastAsia="en-IE"/>
              </w:rPr>
              <w:t xml:space="preserve"> generale del progetto che include ambito, governance del progetto, tempistiche</w:t>
            </w:r>
          </w:p>
          <w:p w14:paraId="7EBAC1CF" w14:textId="6B9E0F0A"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Una copia dell'ultimo registro di domande e risposte del progetto tra ZIL e Previnet;</w:t>
            </w:r>
          </w:p>
        </w:tc>
      </w:tr>
      <w:tr w:rsidR="00CC0F8E" w:rsidRPr="00656794" w14:paraId="19DFDAD5" w14:textId="77777777" w:rsidTr="00BA5AE7">
        <w:trPr>
          <w:trHeight w:val="5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1828D" w14:textId="3B23E1BA" w:rsidR="00CC0F8E" w:rsidRPr="00656794" w:rsidRDefault="00CC0F8E" w:rsidP="00CC0F8E">
            <w:pPr>
              <w:spacing w:after="0" w:line="240" w:lineRule="auto"/>
              <w:ind w:left="122" w:right="157" w:firstLine="5"/>
              <w:rPr>
                <w:rFonts w:ascii="Arial" w:eastAsia="Times New Roman" w:hAnsi="Arial" w:cs="Arial"/>
                <w:color w:val="000000"/>
                <w:sz w:val="18"/>
                <w:szCs w:val="18"/>
                <w:shd w:val="clear" w:color="auto" w:fill="FFFFFF"/>
                <w:lang w:val="it-IT" w:eastAsia="en-IE"/>
              </w:rPr>
            </w:pPr>
            <w:r w:rsidRPr="00656794">
              <w:rPr>
                <w:rFonts w:ascii="Arial" w:hAnsi="Arial" w:cs="Arial"/>
                <w:sz w:val="18"/>
                <w:szCs w:val="18"/>
                <w:lang w:val="it-IT"/>
              </w:rPr>
              <w:t>Denunce, contestazioni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01E80" w14:textId="77777777"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Dashboard ZIL delle tendenze negli attuali reclami dei clienti;</w:t>
            </w:r>
          </w:p>
          <w:p w14:paraId="1E1ED0BF" w14:textId="77777777" w:rsidR="00CC0F8E" w:rsidRPr="00656794" w:rsidRDefault="00CC0F8E" w:rsidP="00CC0F8E">
            <w:pPr>
              <w:spacing w:after="0" w:line="240" w:lineRule="auto"/>
              <w:ind w:left="116"/>
              <w:rPr>
                <w:rFonts w:ascii="Arial" w:eastAsia="Times New Roman" w:hAnsi="Arial" w:cs="Arial"/>
                <w:sz w:val="18"/>
                <w:szCs w:val="18"/>
                <w:lang w:val="it-IT" w:eastAsia="en-IE"/>
              </w:rPr>
            </w:pPr>
          </w:p>
          <w:p w14:paraId="210A0EA0" w14:textId="60DC016F"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 xml:space="preserve">ZLAP </w:t>
            </w:r>
            <w:r w:rsidR="007E211D" w:rsidRPr="00656794">
              <w:rPr>
                <w:rFonts w:ascii="Arial" w:eastAsia="Times New Roman" w:hAnsi="Arial" w:cs="Arial"/>
                <w:sz w:val="18"/>
                <w:szCs w:val="18"/>
                <w:lang w:val="it-IT" w:eastAsia="en-IE"/>
              </w:rPr>
              <w:t>Excel</w:t>
            </w:r>
            <w:r w:rsidRPr="00656794">
              <w:rPr>
                <w:rFonts w:ascii="Arial" w:eastAsia="Times New Roman" w:hAnsi="Arial" w:cs="Arial"/>
                <w:sz w:val="18"/>
                <w:szCs w:val="18"/>
                <w:lang w:val="it-IT" w:eastAsia="en-IE"/>
              </w:rPr>
              <w:t xml:space="preserve"> log dei reclami</w:t>
            </w:r>
          </w:p>
        </w:tc>
      </w:tr>
      <w:tr w:rsidR="00CC0F8E" w:rsidRPr="00867942" w14:paraId="1DCB0CBA" w14:textId="77777777" w:rsidTr="00BA5AE7">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27008" w14:textId="6AA4D604" w:rsidR="00CC0F8E" w:rsidRPr="00656794" w:rsidRDefault="00783326" w:rsidP="00CC0F8E">
            <w:pPr>
              <w:spacing w:after="0" w:line="240" w:lineRule="auto"/>
              <w:ind w:left="122" w:right="157" w:firstLine="5"/>
              <w:rPr>
                <w:rFonts w:ascii="Arial" w:eastAsia="Times New Roman" w:hAnsi="Arial" w:cs="Arial"/>
                <w:color w:val="000000"/>
                <w:sz w:val="18"/>
                <w:szCs w:val="18"/>
                <w:shd w:val="clear" w:color="auto" w:fill="FFFFFF"/>
                <w:lang w:val="it-IT" w:eastAsia="en-IE"/>
              </w:rPr>
            </w:pPr>
            <w:r>
              <w:rPr>
                <w:rFonts w:ascii="Arial" w:hAnsi="Arial" w:cs="Arial"/>
                <w:sz w:val="18"/>
                <w:szCs w:val="18"/>
                <w:lang w:val="it-IT"/>
              </w:rPr>
              <w:t>Piano aziendale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08E98" w14:textId="061D946C" w:rsidR="00CC0F8E" w:rsidRPr="00656794" w:rsidRDefault="00CC0F8E" w:rsidP="00CC0F8E">
            <w:pPr>
              <w:spacing w:after="0" w:line="240" w:lineRule="auto"/>
              <w:ind w:left="116"/>
              <w:rPr>
                <w:rFonts w:ascii="Arial" w:eastAsia="Times New Roman" w:hAnsi="Arial" w:cs="Arial"/>
                <w:sz w:val="18"/>
                <w:szCs w:val="18"/>
                <w:lang w:val="it-IT" w:eastAsia="en-IE"/>
              </w:rPr>
            </w:pPr>
            <w:r w:rsidRPr="00656794">
              <w:rPr>
                <w:rFonts w:ascii="Arial" w:eastAsia="Times New Roman" w:hAnsi="Arial" w:cs="Arial"/>
                <w:sz w:val="18"/>
                <w:szCs w:val="18"/>
                <w:lang w:val="it-IT" w:eastAsia="en-IE"/>
              </w:rPr>
              <w:t xml:space="preserve">Vari documenti che delineano il </w:t>
            </w:r>
            <w:r w:rsidR="00783326">
              <w:rPr>
                <w:rFonts w:ascii="Arial" w:eastAsia="Times New Roman" w:hAnsi="Arial" w:cs="Arial"/>
                <w:sz w:val="18"/>
                <w:szCs w:val="18"/>
                <w:lang w:val="it-IT" w:eastAsia="en-IE"/>
              </w:rPr>
              <w:t>Piano aziendale</w:t>
            </w:r>
            <w:r w:rsidRPr="00656794">
              <w:rPr>
                <w:rFonts w:ascii="Arial" w:eastAsia="Times New Roman" w:hAnsi="Arial" w:cs="Arial"/>
                <w:sz w:val="18"/>
                <w:szCs w:val="18"/>
                <w:lang w:val="it-IT" w:eastAsia="en-IE"/>
              </w:rPr>
              <w:t xml:space="preserve"> di ZIL</w:t>
            </w:r>
          </w:p>
        </w:tc>
      </w:tr>
    </w:tbl>
    <w:p w14:paraId="23A212B2" w14:textId="1C6A012A" w:rsidR="00BA5AE7" w:rsidRDefault="00BA5AE7" w:rsidP="00215CE9">
      <w:pPr>
        <w:pStyle w:val="NormalWeb"/>
        <w:ind w:right="102"/>
        <w:jc w:val="both"/>
        <w:rPr>
          <w:rFonts w:ascii="Arial" w:hAnsi="Arial" w:cs="Arial"/>
          <w:color w:val="00338D"/>
          <w:sz w:val="28"/>
          <w:szCs w:val="28"/>
          <w:lang w:val="it-IT"/>
        </w:rPr>
      </w:pPr>
    </w:p>
    <w:p w14:paraId="29BB73DD" w14:textId="77777777" w:rsidR="00BA5AE7" w:rsidRDefault="00BA5AE7">
      <w:pPr>
        <w:rPr>
          <w:rFonts w:ascii="Arial" w:eastAsia="Times New Roman" w:hAnsi="Arial" w:cs="Arial"/>
          <w:color w:val="00338D"/>
          <w:sz w:val="28"/>
          <w:szCs w:val="28"/>
          <w:lang w:val="it-IT" w:eastAsia="en-IE"/>
        </w:rPr>
      </w:pPr>
      <w:r>
        <w:rPr>
          <w:rFonts w:ascii="Arial" w:hAnsi="Arial" w:cs="Arial"/>
          <w:color w:val="00338D"/>
          <w:sz w:val="28"/>
          <w:szCs w:val="28"/>
          <w:lang w:val="it-IT"/>
        </w:rPr>
        <w:br w:type="page"/>
      </w:r>
    </w:p>
    <w:p w14:paraId="58FA16C9" w14:textId="14E80204" w:rsidR="00215CE9" w:rsidRPr="00656794" w:rsidRDefault="002A6023" w:rsidP="00215CE9">
      <w:pPr>
        <w:pStyle w:val="NormalWeb"/>
        <w:ind w:right="102"/>
        <w:jc w:val="both"/>
        <w:rPr>
          <w:rFonts w:ascii="Arial" w:hAnsi="Arial" w:cs="Arial"/>
          <w:color w:val="00338D"/>
          <w:sz w:val="28"/>
          <w:szCs w:val="28"/>
          <w:lang w:val="it-IT"/>
        </w:rPr>
      </w:pPr>
      <w:r w:rsidRPr="00656794">
        <w:rPr>
          <w:rFonts w:ascii="Arial" w:hAnsi="Arial" w:cs="Arial"/>
          <w:color w:val="00338D"/>
          <w:sz w:val="28"/>
          <w:szCs w:val="28"/>
          <w:lang w:val="it-IT"/>
        </w:rPr>
        <w:lastRenderedPageBreak/>
        <w:t>Appendice 2 Ambito della lettera di incarico</w:t>
      </w:r>
    </w:p>
    <w:p w14:paraId="75238640" w14:textId="5640DD65"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Il ruolo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Attuario Indipendente sarà quello di considerare e riferire alla </w:t>
      </w:r>
      <w:r w:rsidR="00B9172D">
        <w:rPr>
          <w:rFonts w:ascii="Arial" w:hAnsi="Arial" w:cs="Arial"/>
          <w:color w:val="000000"/>
          <w:sz w:val="20"/>
          <w:szCs w:val="20"/>
          <w:lang w:val="it-IT"/>
        </w:rPr>
        <w:t>High Court of Ireland</w:t>
      </w:r>
      <w:r w:rsidRPr="00656794">
        <w:rPr>
          <w:rFonts w:ascii="Arial" w:hAnsi="Arial" w:cs="Arial"/>
          <w:color w:val="000000"/>
          <w:sz w:val="20"/>
          <w:szCs w:val="20"/>
          <w:lang w:val="it-IT"/>
        </w:rPr>
        <w:t xml:space="preserve"> sulla proposta di trasferimento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attività, principalmente dal punto di vista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00B54A6C">
        <w:rPr>
          <w:rFonts w:ascii="Arial" w:hAnsi="Arial" w:cs="Arial"/>
          <w:color w:val="000000"/>
          <w:sz w:val="20"/>
          <w:szCs w:val="20"/>
          <w:lang w:val="it-IT"/>
        </w:rPr>
        <w:t xml:space="preserve"> in perimetro di trasferimento</w:t>
      </w:r>
      <w:r w:rsidRPr="00656794">
        <w:rPr>
          <w:rFonts w:ascii="Arial" w:hAnsi="Arial" w:cs="Arial"/>
          <w:color w:val="000000"/>
          <w:sz w:val="20"/>
          <w:szCs w:val="20"/>
          <w:lang w:val="it-IT"/>
        </w:rPr>
        <w:t xml:space="preserve"> di ZLAP,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rimasti in ZLAP a seguito del trasferimento e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esistenti di ZIL, e di opinare se gli interessi di uno qualsiasi di questi gruppi di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potrebbero essere in qualche modo (direttamente o indirettamente) influenzati negativamente dal trasferimento proposto.</w:t>
      </w:r>
    </w:p>
    <w:p w14:paraId="2959427D" w14:textId="72C58554" w:rsidR="002A6023"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Al fine di formare la mia opinione, </w:t>
      </w:r>
      <w:r w:rsidR="00446E83">
        <w:rPr>
          <w:rFonts w:ascii="Arial" w:hAnsi="Arial" w:cs="Arial"/>
          <w:color w:val="000000"/>
          <w:sz w:val="20"/>
          <w:szCs w:val="20"/>
          <w:lang w:val="it-IT"/>
        </w:rPr>
        <w:t>mi aspetto</w:t>
      </w:r>
      <w:r w:rsidRPr="00656794">
        <w:rPr>
          <w:rFonts w:ascii="Arial" w:hAnsi="Arial" w:cs="Arial"/>
          <w:color w:val="000000"/>
          <w:sz w:val="20"/>
          <w:szCs w:val="20"/>
          <w:lang w:val="it-IT"/>
        </w:rPr>
        <w:t xml:space="preserve"> che i compiti che verranno svolti includeranno i seguenti: </w:t>
      </w:r>
    </w:p>
    <w:p w14:paraId="6EE2321E" w14:textId="72FE85A0"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revisione delle valutazioni attuariali interne e del rischio del trasferimento proposto;</w:t>
      </w:r>
    </w:p>
    <w:p w14:paraId="76A9A640" w14:textId="1C7F306C"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revisione della documentazione aziendale esistente (in particolare, documentazione inviata </w:t>
      </w:r>
      <w:r w:rsidR="00236DFA">
        <w:rPr>
          <w:rFonts w:ascii="Arial" w:hAnsi="Arial" w:cs="Arial"/>
          <w:color w:val="000000"/>
          <w:sz w:val="20"/>
          <w:szCs w:val="20"/>
          <w:lang w:val="it-IT"/>
        </w:rPr>
        <w:t>ai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per motivare le aspettative esistenti);</w:t>
      </w:r>
    </w:p>
    <w:p w14:paraId="655BE11B" w14:textId="584A7613"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esame della documentazione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 xml:space="preserve"> e, se necessario, proposta di modifiche redazionali al fine di eliminare eventuali preoccupazioni;</w:t>
      </w:r>
    </w:p>
    <w:p w14:paraId="10D7AC64" w14:textId="1DC5EDB1"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riesaminare la proposta di trasferimento considerando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effetto </w:t>
      </w:r>
      <w:r w:rsidR="00236DFA">
        <w:rPr>
          <w:rFonts w:ascii="Arial" w:hAnsi="Arial" w:cs="Arial"/>
          <w:color w:val="000000"/>
          <w:sz w:val="20"/>
          <w:szCs w:val="20"/>
          <w:lang w:val="it-IT"/>
        </w:rPr>
        <w:t>sui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che coprono i loro diritti contrattuali, la sicurezza dei benefici e le aspettative dei benefici;</w:t>
      </w:r>
    </w:p>
    <w:p w14:paraId="3CFD3B2A" w14:textId="5E6162A1"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2A6023" w:rsidRPr="00656794">
        <w:rPr>
          <w:rFonts w:ascii="Arial" w:hAnsi="Arial" w:cs="Arial"/>
          <w:color w:val="000000"/>
          <w:sz w:val="20"/>
          <w:szCs w:val="20"/>
          <w:lang w:val="it-IT"/>
        </w:rPr>
        <w:t>in particolare,</w:t>
      </w:r>
      <w:r w:rsidRPr="00656794">
        <w:rPr>
          <w:rFonts w:ascii="Arial" w:hAnsi="Arial" w:cs="Arial"/>
          <w:color w:val="000000"/>
          <w:sz w:val="20"/>
          <w:szCs w:val="20"/>
          <w:lang w:val="it-IT"/>
        </w:rPr>
        <w:t xml:space="preserve"> rivedere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al PRE e le proposte post trasferimento;</w:t>
      </w:r>
    </w:p>
    <w:p w14:paraId="59D394FF" w14:textId="517FB52B"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riesaminare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applicazione della discrezionalità, compresa la risoluzione dei sinistri, la risoluzione delle controversie,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applicazione di oneri, ecc.;</w:t>
      </w:r>
    </w:p>
    <w:p w14:paraId="7F716EB8" w14:textId="21BB85E0" w:rsidR="002A6023"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riesaminare lo stato e la proposta di risoluzione relativa ai reclami/problemi relativi ai dati </w:t>
      </w:r>
      <w:r w:rsidR="00236DFA">
        <w:rPr>
          <w:rFonts w:ascii="Arial" w:hAnsi="Arial" w:cs="Arial"/>
          <w:color w:val="000000"/>
          <w:sz w:val="20"/>
          <w:szCs w:val="20"/>
          <w:lang w:val="it-IT"/>
        </w:rPr>
        <w:t>dei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w:t>
      </w:r>
    </w:p>
    <w:p w14:paraId="5ED503D3" w14:textId="77777777" w:rsidR="002A6023"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riesaminare eventuali modifiche agli accordi di riassicurazione in relazione al trasferimento; </w:t>
      </w:r>
    </w:p>
    <w:p w14:paraId="2507D334" w14:textId="09A751EC"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riesaminare le disposizioni/strutture di fondi esistenti/proposte </w:t>
      </w:r>
      <w:r w:rsidR="002A6023" w:rsidRPr="00656794">
        <w:rPr>
          <w:rFonts w:ascii="Arial" w:hAnsi="Arial" w:cs="Arial"/>
          <w:color w:val="000000"/>
          <w:sz w:val="20"/>
          <w:szCs w:val="20"/>
          <w:lang w:val="it-IT"/>
        </w:rPr>
        <w:t>suggerite</w:t>
      </w:r>
      <w:r w:rsidRPr="00656794">
        <w:rPr>
          <w:rFonts w:ascii="Arial" w:hAnsi="Arial" w:cs="Arial"/>
          <w:color w:val="000000"/>
          <w:sz w:val="20"/>
          <w:szCs w:val="20"/>
          <w:lang w:val="it-IT"/>
        </w:rPr>
        <w:t>;</w:t>
      </w:r>
    </w:p>
    <w:p w14:paraId="383E4031" w14:textId="77777777"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rivedere i livelli di solvibilità comparativa pro forma su base Solvency II prima e dopo i trasferimenti proposti (altre misure finanziarie possono essere prese in considerazione e concordate) in un determinato momento, orizzonte di pianificazione aziendale e sensibilità;</w:t>
      </w:r>
    </w:p>
    <w:p w14:paraId="47316A86" w14:textId="77777777"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esame degli effetti del trasferimento sui rischi interni alle società e sulle risorse di tali società per far fronte a tali rischi;</w:t>
      </w:r>
    </w:p>
    <w:p w14:paraId="4DD05E89" w14:textId="77777777"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collaborare e sollevare questioni e domande, se necessario, con le persone appropriate presso ZLAP e ZIL; e</w:t>
      </w:r>
    </w:p>
    <w:p w14:paraId="44FC3308" w14:textId="7BC6D08A"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mantenere i contatti e sollevare questioni e domande, se necessario, con i propri consulenti, inclusi consulenti legali e fiscali.</w:t>
      </w:r>
    </w:p>
    <w:p w14:paraId="153B2589" w14:textId="191BC5B9" w:rsidR="00215CE9" w:rsidRPr="00656794" w:rsidRDefault="00215CE9" w:rsidP="00215CE9">
      <w:pPr>
        <w:pStyle w:val="NormalWeb"/>
        <w:ind w:right="102"/>
        <w:jc w:val="both"/>
        <w:rPr>
          <w:rFonts w:ascii="Arial" w:hAnsi="Arial" w:cs="Arial"/>
          <w:color w:val="000000"/>
          <w:sz w:val="20"/>
          <w:szCs w:val="20"/>
          <w:lang w:val="it-IT"/>
        </w:rPr>
      </w:pPr>
    </w:p>
    <w:p w14:paraId="61EAA493" w14:textId="77777777" w:rsidR="00CC0F8E" w:rsidRPr="00656794" w:rsidRDefault="00CC0F8E" w:rsidP="00215CE9">
      <w:pPr>
        <w:pStyle w:val="NormalWeb"/>
        <w:ind w:right="102"/>
        <w:jc w:val="both"/>
        <w:rPr>
          <w:rFonts w:ascii="Arial" w:hAnsi="Arial" w:cs="Arial"/>
          <w:color w:val="00338D"/>
          <w:sz w:val="28"/>
          <w:szCs w:val="28"/>
          <w:lang w:val="it-IT"/>
        </w:rPr>
      </w:pPr>
    </w:p>
    <w:p w14:paraId="1DC9CDF0" w14:textId="77777777" w:rsidR="00CC0F8E" w:rsidRPr="00656794" w:rsidRDefault="00CC0F8E" w:rsidP="00215CE9">
      <w:pPr>
        <w:pStyle w:val="NormalWeb"/>
        <w:ind w:right="102"/>
        <w:jc w:val="both"/>
        <w:rPr>
          <w:rFonts w:ascii="Arial" w:hAnsi="Arial" w:cs="Arial"/>
          <w:color w:val="00338D"/>
          <w:sz w:val="28"/>
          <w:szCs w:val="28"/>
          <w:lang w:val="it-IT"/>
        </w:rPr>
      </w:pPr>
    </w:p>
    <w:p w14:paraId="09A704BE" w14:textId="77777777" w:rsidR="00CC0F8E" w:rsidRPr="00656794" w:rsidRDefault="00CC0F8E" w:rsidP="00215CE9">
      <w:pPr>
        <w:pStyle w:val="NormalWeb"/>
        <w:ind w:right="102"/>
        <w:jc w:val="both"/>
        <w:rPr>
          <w:rFonts w:ascii="Arial" w:hAnsi="Arial" w:cs="Arial"/>
          <w:color w:val="00338D"/>
          <w:sz w:val="28"/>
          <w:szCs w:val="28"/>
          <w:lang w:val="it-IT"/>
        </w:rPr>
      </w:pPr>
    </w:p>
    <w:p w14:paraId="5AD7F4FA" w14:textId="61EE2FA7" w:rsidR="00ED6238" w:rsidRPr="00656794" w:rsidRDefault="00ED6238" w:rsidP="00215CE9">
      <w:pPr>
        <w:pStyle w:val="NormalWeb"/>
        <w:ind w:right="102"/>
        <w:jc w:val="both"/>
        <w:rPr>
          <w:rFonts w:ascii="Arial" w:hAnsi="Arial" w:cs="Arial"/>
          <w:color w:val="00338D"/>
          <w:sz w:val="28"/>
          <w:szCs w:val="28"/>
          <w:lang w:val="it-IT"/>
        </w:rPr>
      </w:pPr>
      <w:r w:rsidRPr="00656794">
        <w:rPr>
          <w:rFonts w:ascii="Arial" w:hAnsi="Arial" w:cs="Arial"/>
          <w:color w:val="00338D"/>
          <w:sz w:val="28"/>
          <w:szCs w:val="28"/>
          <w:lang w:val="it-IT"/>
        </w:rPr>
        <w:lastRenderedPageBreak/>
        <w:t>Appendice 3 CV Attuario Indipendente</w:t>
      </w:r>
    </w:p>
    <w:p w14:paraId="5ED8AB2E" w14:textId="36BF1010"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Brian Morrissey è un attuario qualificato con oltre 25 anni di esperienza.</w:t>
      </w:r>
    </w:p>
    <w:p w14:paraId="392BDB3A" w14:textId="77777777"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Attualmente dirige la pratica attuariale di KPMG in Irlanda, concentrandosi sui mercati assicurativi e riassicurativi vita e non vita, sia a livello nazionale che internazionale.</w:t>
      </w:r>
    </w:p>
    <w:p w14:paraId="62861FE7" w14:textId="1E79846E"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ED6238" w:rsidRPr="00656794">
        <w:rPr>
          <w:rFonts w:ascii="Arial" w:hAnsi="Arial" w:cs="Arial"/>
          <w:color w:val="000000"/>
          <w:sz w:val="20"/>
          <w:szCs w:val="20"/>
          <w:lang w:val="it-IT"/>
        </w:rPr>
        <w:t>In precedenza,</w:t>
      </w:r>
      <w:r w:rsidRPr="00656794">
        <w:rPr>
          <w:rFonts w:ascii="Arial" w:hAnsi="Arial" w:cs="Arial"/>
          <w:color w:val="000000"/>
          <w:sz w:val="20"/>
          <w:szCs w:val="20"/>
          <w:lang w:val="it-IT"/>
        </w:rPr>
        <w:t xml:space="preserve"> ha lavorato con KPMG nel Regno Unito e ha ricoperto un ruolo regionale per KPMG a Hong Kong (18 mesi 2001/02). Durante la sua permanenza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estero, ha acquisito una significativa esposizione ai mercati assicurativi internazionali e alla gamma di prodotti venduti in questi mercati.</w:t>
      </w:r>
    </w:p>
    <w:p w14:paraId="4E82C6F8" w14:textId="6CAA8D89"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Ha svolto alcuni incarichi significativi nel mercato irlandese, tra cui quello di Direttore finanziario di una società internazionale di vita per un periodo di 5 mesi, come Responsabile attuariale di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entità vita con operazioni locali/internazionali come parte di una transizione verso un nuovo proprietario per un periodo di 4 mesi.</w:t>
      </w:r>
    </w:p>
    <w:p w14:paraId="0A180112" w14:textId="7DD3C524"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Ha agito in qualità di Attuario Indipendente/Esperto su una serie di perizie richieste da compagnie di assicurazione e riassicurazione sulla vita, inclusi significativi trasferimenti di portafoglio nei mercati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Irlanda 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Isola di Man. Ha svolto attività di </w:t>
      </w:r>
      <w:r w:rsidR="00540F7B">
        <w:rPr>
          <w:rFonts w:ascii="Arial" w:hAnsi="Arial" w:cs="Arial"/>
          <w:color w:val="000000"/>
          <w:sz w:val="20"/>
          <w:szCs w:val="20"/>
          <w:lang w:val="it-IT"/>
        </w:rPr>
        <w:t xml:space="preserve">revisore </w:t>
      </w:r>
      <w:r w:rsidRPr="00656794">
        <w:rPr>
          <w:rFonts w:ascii="Arial" w:hAnsi="Arial" w:cs="Arial"/>
          <w:color w:val="000000"/>
          <w:sz w:val="20"/>
          <w:szCs w:val="20"/>
          <w:lang w:val="it-IT"/>
        </w:rPr>
        <w:t xml:space="preserve">attuariale </w:t>
      </w:r>
      <w:r w:rsidR="00DB5299">
        <w:rPr>
          <w:rFonts w:ascii="Arial" w:hAnsi="Arial" w:cs="Arial"/>
          <w:color w:val="000000"/>
          <w:sz w:val="20"/>
          <w:szCs w:val="20"/>
          <w:lang w:val="it-IT"/>
        </w:rPr>
        <w:t xml:space="preserve">tra parti </w:t>
      </w:r>
      <w:r w:rsidRPr="00656794">
        <w:rPr>
          <w:rFonts w:ascii="Arial" w:hAnsi="Arial" w:cs="Arial"/>
          <w:color w:val="000000"/>
          <w:sz w:val="20"/>
          <w:szCs w:val="20"/>
          <w:lang w:val="it-IT"/>
        </w:rPr>
        <w:t>su una serie di questioni tecniche.</w:t>
      </w:r>
    </w:p>
    <w:p w14:paraId="55EDD55F" w14:textId="2B37464C"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Ricopre una serie di ruoli </w:t>
      </w:r>
      <w:r w:rsidR="00ED6238" w:rsidRPr="00656794">
        <w:rPr>
          <w:rFonts w:ascii="Arial" w:hAnsi="Arial" w:cs="Arial"/>
          <w:color w:val="000000"/>
          <w:sz w:val="20"/>
          <w:szCs w:val="20"/>
          <w:lang w:val="it-IT"/>
        </w:rPr>
        <w:t>statutari,</w:t>
      </w:r>
      <w:r w:rsidRPr="00656794">
        <w:rPr>
          <w:rFonts w:ascii="Arial" w:hAnsi="Arial" w:cs="Arial"/>
          <w:color w:val="000000"/>
          <w:sz w:val="20"/>
          <w:szCs w:val="20"/>
          <w:lang w:val="it-IT"/>
        </w:rPr>
        <w:t xml:space="preserve"> tra cui Attuario incaricato di una compagnia di assicurazioni sulla vita; Titolare della funzione attuariale ai sensi di Solvency II a sei società di assicurazione/riassicurazione sulla vita regolamentate in Irlanda e Attuario indipendente a sei società di riassicurazione sulla vita regolamentate delle Bermuda.</w:t>
      </w:r>
    </w:p>
    <w:p w14:paraId="201F8271" w14:textId="77777777"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È coinvolto nelle iniziative di KPMG International in relazione a IFRS 17 e Solvency II.</w:t>
      </w:r>
    </w:p>
    <w:p w14:paraId="597D1296" w14:textId="17FF4FE8"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ED6238" w:rsidRPr="00656794">
        <w:rPr>
          <w:rFonts w:ascii="Arial" w:hAnsi="Arial" w:cs="Arial"/>
          <w:color w:val="000000"/>
          <w:sz w:val="20"/>
          <w:szCs w:val="20"/>
          <w:lang w:val="it-IT"/>
        </w:rPr>
        <w:t>In precedenza,</w:t>
      </w:r>
      <w:r w:rsidRPr="00656794">
        <w:rPr>
          <w:rFonts w:ascii="Arial" w:hAnsi="Arial" w:cs="Arial"/>
          <w:color w:val="000000"/>
          <w:sz w:val="20"/>
          <w:szCs w:val="20"/>
          <w:lang w:val="it-IT"/>
        </w:rPr>
        <w:t xml:space="preserve"> è stato membro del Council of Society of Actuaries in Irlanda ed è membro di vari sottocomitati della Società ed è il rappresentante della Società presso il sottocomitato di contabilità assicurativa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International Actuary Association.</w:t>
      </w:r>
    </w:p>
    <w:p w14:paraId="0B553E72" w14:textId="604957A8" w:rsidR="00215CE9" w:rsidRPr="00656794" w:rsidRDefault="00215CE9" w:rsidP="00215CE9">
      <w:pPr>
        <w:pStyle w:val="NormalWeb"/>
        <w:ind w:right="102"/>
        <w:jc w:val="both"/>
        <w:rPr>
          <w:rFonts w:ascii="Arial" w:hAnsi="Arial" w:cs="Arial"/>
          <w:color w:val="000000"/>
          <w:sz w:val="20"/>
          <w:szCs w:val="20"/>
          <w:lang w:val="it-IT"/>
        </w:rPr>
      </w:pPr>
    </w:p>
    <w:p w14:paraId="76F1DACB" w14:textId="77777777" w:rsidR="00CC0F8E" w:rsidRPr="00656794" w:rsidRDefault="00CC0F8E" w:rsidP="00215CE9">
      <w:pPr>
        <w:pStyle w:val="NormalWeb"/>
        <w:ind w:right="102"/>
        <w:jc w:val="both"/>
        <w:rPr>
          <w:rFonts w:ascii="Arial" w:hAnsi="Arial" w:cs="Arial"/>
          <w:color w:val="00338D"/>
          <w:sz w:val="28"/>
          <w:szCs w:val="28"/>
          <w:lang w:val="it-IT"/>
        </w:rPr>
      </w:pPr>
    </w:p>
    <w:p w14:paraId="035BE8DB" w14:textId="77777777" w:rsidR="00CC0F8E" w:rsidRPr="00656794" w:rsidRDefault="00CC0F8E" w:rsidP="00215CE9">
      <w:pPr>
        <w:pStyle w:val="NormalWeb"/>
        <w:ind w:right="102"/>
        <w:jc w:val="both"/>
        <w:rPr>
          <w:rFonts w:ascii="Arial" w:hAnsi="Arial" w:cs="Arial"/>
          <w:color w:val="00338D"/>
          <w:sz w:val="28"/>
          <w:szCs w:val="28"/>
          <w:lang w:val="it-IT"/>
        </w:rPr>
      </w:pPr>
    </w:p>
    <w:p w14:paraId="4EB5E73F" w14:textId="77777777" w:rsidR="00CC0F8E" w:rsidRPr="00656794" w:rsidRDefault="00CC0F8E" w:rsidP="00215CE9">
      <w:pPr>
        <w:pStyle w:val="NormalWeb"/>
        <w:ind w:right="102"/>
        <w:jc w:val="both"/>
        <w:rPr>
          <w:rFonts w:ascii="Arial" w:hAnsi="Arial" w:cs="Arial"/>
          <w:color w:val="00338D"/>
          <w:sz w:val="28"/>
          <w:szCs w:val="28"/>
          <w:lang w:val="it-IT"/>
        </w:rPr>
      </w:pPr>
    </w:p>
    <w:p w14:paraId="346C9D4B" w14:textId="77777777" w:rsidR="00CC0F8E" w:rsidRPr="00656794" w:rsidRDefault="00CC0F8E" w:rsidP="00215CE9">
      <w:pPr>
        <w:pStyle w:val="NormalWeb"/>
        <w:ind w:right="102"/>
        <w:jc w:val="both"/>
        <w:rPr>
          <w:rFonts w:ascii="Arial" w:hAnsi="Arial" w:cs="Arial"/>
          <w:color w:val="00338D"/>
          <w:sz w:val="28"/>
          <w:szCs w:val="28"/>
          <w:lang w:val="it-IT"/>
        </w:rPr>
      </w:pPr>
    </w:p>
    <w:p w14:paraId="00095916" w14:textId="77777777" w:rsidR="00CC0F8E" w:rsidRPr="00656794" w:rsidRDefault="00CC0F8E" w:rsidP="00215CE9">
      <w:pPr>
        <w:pStyle w:val="NormalWeb"/>
        <w:ind w:right="102"/>
        <w:jc w:val="both"/>
        <w:rPr>
          <w:rFonts w:ascii="Arial" w:hAnsi="Arial" w:cs="Arial"/>
          <w:color w:val="00338D"/>
          <w:sz w:val="28"/>
          <w:szCs w:val="28"/>
          <w:lang w:val="it-IT"/>
        </w:rPr>
      </w:pPr>
    </w:p>
    <w:p w14:paraId="2375A10C" w14:textId="77777777" w:rsidR="00CC0F8E" w:rsidRPr="00656794" w:rsidRDefault="00CC0F8E" w:rsidP="00215CE9">
      <w:pPr>
        <w:pStyle w:val="NormalWeb"/>
        <w:ind w:right="102"/>
        <w:jc w:val="both"/>
        <w:rPr>
          <w:rFonts w:ascii="Arial" w:hAnsi="Arial" w:cs="Arial"/>
          <w:color w:val="00338D"/>
          <w:sz w:val="28"/>
          <w:szCs w:val="28"/>
          <w:lang w:val="it-IT"/>
        </w:rPr>
      </w:pPr>
    </w:p>
    <w:p w14:paraId="6719499E" w14:textId="77777777" w:rsidR="00CC0F8E" w:rsidRPr="00656794" w:rsidRDefault="00CC0F8E" w:rsidP="00215CE9">
      <w:pPr>
        <w:pStyle w:val="NormalWeb"/>
        <w:ind w:right="102"/>
        <w:jc w:val="both"/>
        <w:rPr>
          <w:rFonts w:ascii="Arial" w:hAnsi="Arial" w:cs="Arial"/>
          <w:color w:val="00338D"/>
          <w:sz w:val="28"/>
          <w:szCs w:val="28"/>
          <w:lang w:val="it-IT"/>
        </w:rPr>
      </w:pPr>
    </w:p>
    <w:p w14:paraId="795AC3DD" w14:textId="77777777" w:rsidR="00CC0F8E" w:rsidRPr="00656794" w:rsidRDefault="00CC0F8E" w:rsidP="00215CE9">
      <w:pPr>
        <w:pStyle w:val="NormalWeb"/>
        <w:ind w:right="102"/>
        <w:jc w:val="both"/>
        <w:rPr>
          <w:rFonts w:ascii="Arial" w:hAnsi="Arial" w:cs="Arial"/>
          <w:color w:val="00338D"/>
          <w:sz w:val="28"/>
          <w:szCs w:val="28"/>
          <w:lang w:val="it-IT"/>
        </w:rPr>
      </w:pPr>
    </w:p>
    <w:p w14:paraId="1707F6C5" w14:textId="77777777" w:rsidR="00CC0F8E" w:rsidRPr="00656794" w:rsidRDefault="00CC0F8E" w:rsidP="00215CE9">
      <w:pPr>
        <w:pStyle w:val="NormalWeb"/>
        <w:ind w:right="102"/>
        <w:jc w:val="both"/>
        <w:rPr>
          <w:rFonts w:ascii="Arial" w:hAnsi="Arial" w:cs="Arial"/>
          <w:color w:val="00338D"/>
          <w:sz w:val="28"/>
          <w:szCs w:val="28"/>
          <w:lang w:val="it-IT"/>
        </w:rPr>
      </w:pPr>
    </w:p>
    <w:p w14:paraId="202A2198" w14:textId="2A18DDF6" w:rsidR="00ED6238" w:rsidRPr="00656794" w:rsidRDefault="00ED6238" w:rsidP="00215CE9">
      <w:pPr>
        <w:pStyle w:val="NormalWeb"/>
        <w:ind w:right="102"/>
        <w:jc w:val="both"/>
        <w:rPr>
          <w:rFonts w:ascii="Arial" w:hAnsi="Arial" w:cs="Arial"/>
          <w:color w:val="00338D"/>
          <w:sz w:val="28"/>
          <w:szCs w:val="28"/>
          <w:lang w:val="it-IT"/>
        </w:rPr>
      </w:pPr>
      <w:r w:rsidRPr="00656794">
        <w:rPr>
          <w:rFonts w:ascii="Arial" w:hAnsi="Arial" w:cs="Arial"/>
          <w:color w:val="00338D"/>
          <w:sz w:val="28"/>
          <w:szCs w:val="28"/>
          <w:lang w:val="it-IT"/>
        </w:rPr>
        <w:lastRenderedPageBreak/>
        <w:t>Appendice 4 PRE</w:t>
      </w:r>
    </w:p>
    <w:p w14:paraId="4CE96557" w14:textId="1B86DF1D"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Panoramica del regime PRE in Irlanda</w:t>
      </w:r>
    </w:p>
    <w:p w14:paraId="30E192CC" w14:textId="05747059"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interpretazione di PRE è stata originariamente considerata un problema per le società che stipulano politiche di investimento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con profitti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del tipo tradizionalmente offerto nel Regno Unito e in Irlanda. Tali contratti conferiscono 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impresa di assicurazione </w:t>
      </w:r>
      <w:r w:rsidR="00FA60F2" w:rsidRPr="00656794">
        <w:rPr>
          <w:rFonts w:ascii="Arial" w:hAnsi="Arial" w:cs="Arial"/>
          <w:color w:val="000000"/>
          <w:sz w:val="20"/>
          <w:szCs w:val="20"/>
          <w:lang w:val="it-IT"/>
        </w:rPr>
        <w:t>su</w:t>
      </w:r>
      <w:r w:rsidR="00FA60F2">
        <w:rPr>
          <w:rFonts w:ascii="Arial" w:hAnsi="Arial" w:cs="Arial"/>
          <w:color w:val="000000"/>
          <w:sz w:val="20"/>
          <w:szCs w:val="20"/>
          <w:lang w:val="it-IT"/>
        </w:rPr>
        <w:t>i comparti</w:t>
      </w:r>
      <w:r w:rsidR="00FA60F2" w:rsidRPr="00656794">
        <w:rPr>
          <w:rFonts w:ascii="Arial" w:hAnsi="Arial" w:cs="Arial"/>
          <w:color w:val="000000"/>
          <w:sz w:val="20"/>
          <w:szCs w:val="20"/>
          <w:lang w:val="it-IT"/>
        </w:rPr>
        <w:t xml:space="preserve"> </w:t>
      </w:r>
      <w:r w:rsidRPr="00656794">
        <w:rPr>
          <w:rFonts w:ascii="Arial" w:hAnsi="Arial" w:cs="Arial"/>
          <w:color w:val="000000"/>
          <w:sz w:val="20"/>
          <w:szCs w:val="20"/>
          <w:lang w:val="it-IT"/>
        </w:rPr>
        <w:t xml:space="preserve">vita una notevole discrezionalità in relazione alla loro operatività in particolare per quanto riguarda gli importi distribuiti </w:t>
      </w:r>
      <w:r w:rsidR="00236DFA">
        <w:rPr>
          <w:rFonts w:ascii="Arial" w:hAnsi="Arial" w:cs="Arial"/>
          <w:color w:val="000000"/>
          <w:sz w:val="20"/>
          <w:szCs w:val="20"/>
          <w:lang w:val="it-IT"/>
        </w:rPr>
        <w:t>ai</w:t>
      </w:r>
      <w:r w:rsidR="00236DFA" w:rsidRPr="00656794">
        <w:rPr>
          <w:rFonts w:ascii="Arial" w:hAnsi="Arial" w:cs="Arial"/>
          <w:color w:val="000000"/>
          <w:sz w:val="20"/>
          <w:szCs w:val="20"/>
          <w:lang w:val="it-IT"/>
        </w:rPr>
        <w:t xml:space="preserve"> </w:t>
      </w:r>
      <w:r w:rsidR="00DC30A5">
        <w:rPr>
          <w:rFonts w:ascii="Arial" w:hAnsi="Arial" w:cs="Arial"/>
          <w:color w:val="000000"/>
          <w:sz w:val="20"/>
          <w:szCs w:val="20"/>
          <w:lang w:val="it-IT"/>
        </w:rPr>
        <w:t>contraenti</w:t>
      </w:r>
      <w:r w:rsidRPr="00656794">
        <w:rPr>
          <w:rFonts w:ascii="Arial" w:hAnsi="Arial" w:cs="Arial"/>
          <w:color w:val="000000"/>
          <w:sz w:val="20"/>
          <w:szCs w:val="20"/>
          <w:lang w:val="it-IT"/>
        </w:rPr>
        <w:t xml:space="preserve"> a titolo di bonus e la tempistica di tali distribuzioni. Il concetto, tuttavia, è stato esteso per comprendere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esercizio di attività </w:t>
      </w:r>
      <w:r w:rsidR="00FA60F2">
        <w:rPr>
          <w:rFonts w:ascii="Arial" w:hAnsi="Arial" w:cs="Arial"/>
          <w:color w:val="000000"/>
          <w:sz w:val="20"/>
          <w:szCs w:val="20"/>
          <w:lang w:val="it-IT"/>
        </w:rPr>
        <w:t>unit-linked</w:t>
      </w:r>
      <w:r w:rsidRPr="00656794">
        <w:rPr>
          <w:rFonts w:ascii="Arial" w:hAnsi="Arial" w:cs="Arial"/>
          <w:color w:val="000000"/>
          <w:sz w:val="20"/>
          <w:szCs w:val="20"/>
          <w:lang w:val="it-IT"/>
        </w:rPr>
        <w:t xml:space="preserve"> e, in misura minore, le attività </w:t>
      </w:r>
      <w:r w:rsidR="00FA60F2">
        <w:rPr>
          <w:rFonts w:ascii="Arial" w:hAnsi="Arial" w:cs="Arial"/>
          <w:color w:val="000000"/>
          <w:sz w:val="20"/>
          <w:szCs w:val="20"/>
          <w:lang w:val="it-IT"/>
        </w:rPr>
        <w:t>no</w:t>
      </w:r>
      <w:r w:rsidR="00A14C33">
        <w:rPr>
          <w:rFonts w:ascii="Arial" w:hAnsi="Arial" w:cs="Arial"/>
          <w:color w:val="000000"/>
          <w:sz w:val="20"/>
          <w:szCs w:val="20"/>
          <w:lang w:val="it-IT"/>
        </w:rPr>
        <w:t>n linked</w:t>
      </w:r>
      <w:r w:rsidR="00FA60F2">
        <w:rPr>
          <w:rFonts w:ascii="Arial" w:hAnsi="Arial" w:cs="Arial"/>
          <w:color w:val="000000"/>
          <w:sz w:val="20"/>
          <w:szCs w:val="20"/>
          <w:lang w:val="it-IT"/>
        </w:rPr>
        <w:t xml:space="preserve"> </w:t>
      </w:r>
      <w:r w:rsidR="008E4C71">
        <w:rPr>
          <w:rFonts w:ascii="Arial" w:hAnsi="Arial" w:cs="Arial"/>
          <w:color w:val="000000"/>
          <w:sz w:val="20"/>
          <w:szCs w:val="20"/>
          <w:lang w:val="it-IT"/>
        </w:rPr>
        <w:t>no</w:t>
      </w:r>
      <w:r w:rsidR="00FA227B">
        <w:rPr>
          <w:rFonts w:ascii="Arial" w:hAnsi="Arial" w:cs="Arial"/>
          <w:color w:val="000000"/>
          <w:sz w:val="20"/>
          <w:szCs w:val="20"/>
          <w:lang w:val="it-IT"/>
        </w:rPr>
        <w:t>n-profit.</w:t>
      </w:r>
    </w:p>
    <w:p w14:paraId="58C96DEE" w14:textId="7184B7C3"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Sebbene la frase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PRE</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sia entrata in uso negli anni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70, non compare nella legislazione assicurativa irlandese. Il PRE in Irlanda si è evoluto nel tempo ed è stato influenzato da, e in alcuni casi superato, sviluppi legali, normativi, dei consumatori e del settore come il Codice per la protezione dei consumatori, la legislazione sulle clausole contrattuali abusive e il Conto di risparmio pensionistico personale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PRSA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regolamento del Consiglio delle pensioni (distinto dal CBI). È stato menzionato nelle note di orientamento prodotte nel 2000 dal Dipartimento per le imprese, il commercio e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occupazione (un predecessore del CBI) in relazione ai regolamenti quadro della Comunità europea (assicurazione sulla vita) del 1994. Con il nuovo regime Solvency II è previsto un obbligo di legge affinché la HoAF consideri PRE come stabilito nella nota di orientamento della CBI intitolata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Regime attuariale nazionale e requisiti di governance correlati ai sensi di Solvency II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Sebbene non ci siano regolamenti prescritti, la CBI considera PRE come parte dei suoi impegni aziendali individuali.</w:t>
      </w:r>
    </w:p>
    <w:p w14:paraId="428B2ACA" w14:textId="7899CCCD"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 </w:t>
      </w:r>
      <w:r w:rsidR="00C67906">
        <w:rPr>
          <w:rFonts w:ascii="Arial" w:hAnsi="Arial" w:cs="Arial"/>
          <w:color w:val="000000"/>
          <w:sz w:val="20"/>
          <w:szCs w:val="20"/>
          <w:lang w:val="it-IT"/>
        </w:rPr>
        <w:t xml:space="preserve">La </w:t>
      </w:r>
      <w:r w:rsidRPr="00656794">
        <w:rPr>
          <w:rFonts w:ascii="Arial" w:hAnsi="Arial" w:cs="Arial"/>
          <w:color w:val="000000"/>
          <w:sz w:val="20"/>
          <w:szCs w:val="20"/>
          <w:lang w:val="it-IT"/>
        </w:rPr>
        <w:t>SAI ha adottato le note di orientamento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Istituto degli attuari fino al 1995 e queste si sono riferite in parte al PRE. Nel 1995</w:t>
      </w:r>
      <w:r w:rsidR="00C67906">
        <w:rPr>
          <w:rFonts w:ascii="Arial" w:hAnsi="Arial" w:cs="Arial"/>
          <w:color w:val="000000"/>
          <w:sz w:val="20"/>
          <w:szCs w:val="20"/>
          <w:lang w:val="it-IT"/>
        </w:rPr>
        <w:t xml:space="preserve"> la </w:t>
      </w:r>
      <w:r w:rsidRPr="00656794">
        <w:rPr>
          <w:rFonts w:ascii="Arial" w:hAnsi="Arial" w:cs="Arial"/>
          <w:color w:val="000000"/>
          <w:sz w:val="20"/>
          <w:szCs w:val="20"/>
          <w:lang w:val="it-IT"/>
        </w:rPr>
        <w:t>SAI ha emesso standard professionali che facevano riferimento a PRE ed erano obbligatori per gli Attuari Nominati Irlandesi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del regime Solvency I. Questi standard sono stati aggiornati più volte e nel 2006 è stato emesso uno standard aggiuntivo per fornire maggiori indicazioni specificamente a PRE.</w:t>
      </w:r>
    </w:p>
    <w:p w14:paraId="6FF54D5D" w14:textId="03EA939D"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All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inizio del 2020, </w:t>
      </w:r>
      <w:r w:rsidR="00C67906">
        <w:rPr>
          <w:rFonts w:ascii="Arial" w:hAnsi="Arial" w:cs="Arial"/>
          <w:color w:val="000000"/>
          <w:sz w:val="20"/>
          <w:szCs w:val="20"/>
          <w:lang w:val="it-IT"/>
        </w:rPr>
        <w:t xml:space="preserve">la </w:t>
      </w:r>
      <w:r w:rsidRPr="00656794">
        <w:rPr>
          <w:rFonts w:ascii="Arial" w:hAnsi="Arial" w:cs="Arial"/>
          <w:color w:val="000000"/>
          <w:sz w:val="20"/>
          <w:szCs w:val="20"/>
          <w:lang w:val="it-IT"/>
        </w:rPr>
        <w:t>SAI ha annullato questo standard e sta sviluppando uno nuovo, riconoscendo il mutato ruolo degli attuari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di Solvency II.</w:t>
      </w:r>
    </w:p>
    <w:p w14:paraId="30A5DBA7" w14:textId="6A999C5B"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Come menzionato sopra,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del nuovo regime Solvency II esiste un obbligo di legge per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HoAF di considerare PRE come stabilito nella nota di orientamento CBI intitolata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Regime attuariale nazionale e requisiti di governance correlati in base a Solvency II</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In definitiva, il Consiglio è responsabile della gestione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azienda 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incontro con PRE.</w:t>
      </w:r>
    </w:p>
    <w:p w14:paraId="65E85AAD" w14:textId="2A17F049" w:rsidR="00215CE9" w:rsidRPr="00BB5939"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Laddove non sia superato da aspetti legali, PRE in Irlanda rimane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area in gran parte giudicante perché gli standard attuariali sono basati su principi.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applicare questi principi, gli HoAF irlandesi di solito prendono in considerazione le buone pratiche come quella applicata nel Regno Unito (come la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Guida di buone pratiche per fondi collegati alle unità</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ABI, i documenti attuariali e i requisiti normativi).</w:t>
      </w:r>
    </w:p>
    <w:p w14:paraId="14C3C01C" w14:textId="68CA15D7"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Vale la pena notare che lo standard precedentemente stabilito dalla SAI, ASP LA-4, si applicava solo alle HoAF irlandesi e quindi non si sarebbe applicato alle attività vendute in Irlanda in base alla libertà di stabilimento.</w:t>
      </w:r>
    </w:p>
    <w:p w14:paraId="3D26B944" w14:textId="77777777" w:rsidR="00CC0F8E" w:rsidRPr="00656794" w:rsidRDefault="00CC0F8E" w:rsidP="00CC0F8E">
      <w:pPr>
        <w:spacing w:before="496" w:after="0" w:line="240" w:lineRule="auto"/>
        <w:rPr>
          <w:rFonts w:ascii="Arial" w:eastAsia="Times New Roman" w:hAnsi="Arial" w:cs="Arial"/>
          <w:color w:val="00338D"/>
          <w:sz w:val="28"/>
          <w:szCs w:val="28"/>
          <w:lang w:val="it-IT" w:eastAsia="en-IE"/>
        </w:rPr>
      </w:pPr>
    </w:p>
    <w:p w14:paraId="7BE7CC78" w14:textId="77777777" w:rsidR="00CC0F8E" w:rsidRPr="00656794" w:rsidRDefault="00CC0F8E" w:rsidP="00CC0F8E">
      <w:pPr>
        <w:spacing w:before="496" w:after="0" w:line="240" w:lineRule="auto"/>
        <w:rPr>
          <w:rFonts w:ascii="Arial" w:eastAsia="Times New Roman" w:hAnsi="Arial" w:cs="Arial"/>
          <w:color w:val="00338D"/>
          <w:sz w:val="28"/>
          <w:szCs w:val="28"/>
          <w:lang w:val="it-IT" w:eastAsia="en-IE"/>
        </w:rPr>
      </w:pPr>
    </w:p>
    <w:p w14:paraId="2F1889F6" w14:textId="77777777" w:rsidR="00CC0F8E" w:rsidRPr="00656794" w:rsidRDefault="00CC0F8E" w:rsidP="00CC0F8E">
      <w:pPr>
        <w:spacing w:before="496" w:after="0" w:line="240" w:lineRule="auto"/>
        <w:rPr>
          <w:rFonts w:ascii="Arial" w:eastAsia="Times New Roman" w:hAnsi="Arial" w:cs="Arial"/>
          <w:color w:val="00338D"/>
          <w:sz w:val="28"/>
          <w:szCs w:val="28"/>
          <w:lang w:val="it-IT" w:eastAsia="en-IE"/>
        </w:rPr>
      </w:pPr>
    </w:p>
    <w:p w14:paraId="0053A531" w14:textId="069C23DD" w:rsidR="00215CE9" w:rsidRPr="00656794" w:rsidRDefault="00215CE9" w:rsidP="00CC0F8E">
      <w:pPr>
        <w:spacing w:before="496"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8"/>
          <w:szCs w:val="28"/>
          <w:lang w:val="it-IT" w:eastAsia="en-IE"/>
        </w:rPr>
        <w:lastRenderedPageBreak/>
        <w:t>Appen</w:t>
      </w:r>
      <w:r w:rsidR="00ED6238" w:rsidRPr="00656794">
        <w:rPr>
          <w:rFonts w:ascii="Arial" w:eastAsia="Times New Roman" w:hAnsi="Arial" w:cs="Arial"/>
          <w:color w:val="00338D"/>
          <w:sz w:val="28"/>
          <w:szCs w:val="28"/>
          <w:lang w:val="it-IT" w:eastAsia="en-IE"/>
        </w:rPr>
        <w:t>dice</w:t>
      </w:r>
      <w:r w:rsidRPr="00656794">
        <w:rPr>
          <w:rFonts w:ascii="Arial" w:eastAsia="Times New Roman" w:hAnsi="Arial" w:cs="Arial"/>
          <w:color w:val="00338D"/>
          <w:sz w:val="28"/>
          <w:szCs w:val="28"/>
          <w:lang w:val="it-IT" w:eastAsia="en-IE"/>
        </w:rPr>
        <w:t xml:space="preserve"> 5 Solvency II </w:t>
      </w:r>
    </w:p>
    <w:p w14:paraId="01E94C77" w14:textId="4D92DA99"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La Direttiva Europea Solvency II è una revisione fondamentale del regime di vigilanza sull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adeguatezza patrimoniale e sulla solvibilità per il settore assicurativo europeo. Poiché Solvency II è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iniziativa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UE, si applica in Irlanda (e in tutta Europa) in modo armonizzato. Solvency II è stato implementato il 1° gennaio 2016.</w:t>
      </w:r>
    </w:p>
    <w:p w14:paraId="6E272FF1" w14:textId="2115C03C"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Sotto Solvency II, il ruolo statutario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Attuario Incaricato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è stato abolito, con la Direttiva che stabilisce il ruolo della Funzione Attuariale. La Central Bank of Ireland,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ambito del Domestic Actuarial Regime, ha poi rafforzato i requisiti previsti da Solvency II istituendo il ruolo di Head of Actuary Function. Il ruolo e le responsabilità del Responsabile della funzione attuariale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HoAF</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in Solvency II sono leggermente diversi e leggermente più ristretti rispetto a quelli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AA in Solvency I. Ai fini del presente </w:t>
      </w:r>
      <w:r w:rsidR="00525C00" w:rsidRPr="00656794">
        <w:rPr>
          <w:rFonts w:ascii="Arial" w:hAnsi="Arial" w:cs="Arial"/>
          <w:color w:val="000000"/>
          <w:sz w:val="20"/>
          <w:szCs w:val="20"/>
          <w:lang w:val="it-IT"/>
        </w:rPr>
        <w:t>Relazione</w:t>
      </w:r>
      <w:r w:rsidRPr="00656794">
        <w:rPr>
          <w:rFonts w:ascii="Arial" w:hAnsi="Arial" w:cs="Arial"/>
          <w:color w:val="000000"/>
          <w:sz w:val="20"/>
          <w:szCs w:val="20"/>
          <w:lang w:val="it-IT"/>
        </w:rPr>
        <w:t>, i rispettivi HoAF di ZLAP e ZIL hanno preparato il I dati di Solv</w:t>
      </w:r>
      <w:r w:rsidR="00E53B9D">
        <w:rPr>
          <w:rFonts w:ascii="Arial" w:hAnsi="Arial" w:cs="Arial"/>
          <w:color w:val="000000"/>
          <w:sz w:val="20"/>
          <w:szCs w:val="20"/>
          <w:lang w:val="it-IT"/>
        </w:rPr>
        <w:t>ency</w:t>
      </w:r>
      <w:r w:rsidRPr="00656794">
        <w:rPr>
          <w:rFonts w:ascii="Arial" w:hAnsi="Arial" w:cs="Arial"/>
          <w:color w:val="000000"/>
          <w:sz w:val="20"/>
          <w:szCs w:val="20"/>
          <w:lang w:val="it-IT"/>
        </w:rPr>
        <w:t xml:space="preserve"> II. Il cambiamento nella governance attuariale non ha alcun impatto sulla mia valutazione del</w:t>
      </w:r>
      <w:r w:rsidR="00F470FD">
        <w:rPr>
          <w:rFonts w:ascii="Arial" w:hAnsi="Arial" w:cs="Arial"/>
          <w:color w:val="000000"/>
          <w:sz w:val="20"/>
          <w:szCs w:val="20"/>
          <w:lang w:val="it-IT"/>
        </w:rPr>
        <w:t>l’</w:t>
      </w:r>
      <w:r w:rsidR="00AE4256">
        <w:rPr>
          <w:rFonts w:ascii="Arial" w:hAnsi="Arial" w:cs="Arial"/>
          <w:color w:val="000000"/>
          <w:sz w:val="20"/>
          <w:szCs w:val="20"/>
          <w:lang w:val="it-IT"/>
        </w:rPr>
        <w:t>Atto di Trasferimento</w:t>
      </w:r>
      <w:r w:rsidRPr="00656794">
        <w:rPr>
          <w:rFonts w:ascii="Arial" w:hAnsi="Arial" w:cs="Arial"/>
          <w:color w:val="000000"/>
          <w:sz w:val="20"/>
          <w:szCs w:val="20"/>
          <w:lang w:val="it-IT"/>
        </w:rPr>
        <w:t>.</w:t>
      </w:r>
    </w:p>
    <w:p w14:paraId="70673207" w14:textId="2018FD8D"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Il </w:t>
      </w:r>
      <w:r w:rsidR="005E55EE" w:rsidRPr="00656794">
        <w:rPr>
          <w:rFonts w:ascii="Arial" w:hAnsi="Arial" w:cs="Arial"/>
          <w:color w:val="000000"/>
          <w:sz w:val="20"/>
          <w:szCs w:val="20"/>
          <w:lang w:val="it-IT"/>
        </w:rPr>
        <w:t>quadro</w:t>
      </w:r>
      <w:r w:rsidRPr="00656794">
        <w:rPr>
          <w:rFonts w:ascii="Arial" w:hAnsi="Arial" w:cs="Arial"/>
          <w:color w:val="000000"/>
          <w:sz w:val="20"/>
          <w:szCs w:val="20"/>
          <w:lang w:val="it-IT"/>
        </w:rPr>
        <w:t xml:space="preserve"> Solvency II si compone di tre pilastri.</w:t>
      </w:r>
    </w:p>
    <w:p w14:paraId="41F722AA" w14:textId="653776A5"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b/>
          <w:bCs/>
          <w:i/>
          <w:iCs/>
          <w:color w:val="000000"/>
          <w:sz w:val="20"/>
          <w:szCs w:val="20"/>
          <w:lang w:val="it-IT"/>
        </w:rPr>
        <w:t>Il primo pilastro</w:t>
      </w:r>
      <w:r w:rsidRPr="00656794">
        <w:rPr>
          <w:rFonts w:ascii="Arial" w:hAnsi="Arial" w:cs="Arial"/>
          <w:color w:val="000000"/>
          <w:sz w:val="20"/>
          <w:szCs w:val="20"/>
          <w:lang w:val="it-IT"/>
        </w:rPr>
        <w:t xml:space="preserve"> si concentra sugli aspetti quantitativi del regime e definisce le risorse finanziarie che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impresa deve detenere per essere considerata solvibile. In particolare, contiene indicazioni sulla valutazione di attività e passività e illustra le modalità di determinazione dei requisiti patrimoniali del regime.</w:t>
      </w:r>
    </w:p>
    <w:p w14:paraId="40F9B1CB" w14:textId="6791D3D8"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 xml:space="preserve">Le passività determinate in ambito Solvency II sono denominate Riserve Tecniche e sono generalmente costituite da due componenti, una passività </w:t>
      </w:r>
      <w:r w:rsidR="00CF7F39">
        <w:rPr>
          <w:rFonts w:ascii="Arial" w:hAnsi="Arial" w:cs="Arial"/>
          <w:color w:val="000000"/>
          <w:sz w:val="20"/>
          <w:szCs w:val="20"/>
          <w:lang w:val="it-IT"/>
        </w:rPr>
        <w:t>Migliore Stima</w:t>
      </w:r>
      <w:r w:rsidRPr="00656794">
        <w:rPr>
          <w:rFonts w:ascii="Arial" w:hAnsi="Arial" w:cs="Arial"/>
          <w:color w:val="000000"/>
          <w:sz w:val="20"/>
          <w:szCs w:val="20"/>
          <w:lang w:val="it-IT"/>
        </w:rPr>
        <w:t xml:space="preserve"> e un margine di rischio. La migliore stima della passività è una media ponderata in base alle probabilità dei flussi di cassa futuri, scontata utilizzando una struttura a termine dei tassi di interesse prescritta e priva di rischio. Il margine di rischio è un livello aggiuntivo rispetto alla migliore stima, determinato utilizzando un approccio del costo del capitale, ed ha lo scopo di riflettere il margine che sarebbe richiesto da una terza parte per assumere le obbligazioni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assicuratore.</w:t>
      </w:r>
    </w:p>
    <w:p w14:paraId="46269103" w14:textId="2BEA796A"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Il capitale ammissibile ai sensi di Solvency II è indicato come fondi propri ed è sostanzialmente suddiviso in due tipi, fondi propri di base e fondi propri ausiliari. I Fondi Propri di Base comprendono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eccedenza delle attività rispetto alle passività e qualsiasi passività subordinata, mentre i Fondi Propri accessori comprendono altri elementi che assorbono le perdite, compreso il capitale azionario non pagato e le lettere di credito. I fondi propri sono inoltre suddivisi in tre livelli in base alla qualità complessiva, con il livello 1 che rappresenta la qualità più alta e il livello tre il più basso. Non ci sono limiti applicati ai fondi propri di </w:t>
      </w:r>
      <w:r w:rsidR="00581149" w:rsidRPr="00656794">
        <w:rPr>
          <w:rFonts w:ascii="Arial" w:hAnsi="Arial" w:cs="Arial"/>
          <w:color w:val="000000"/>
          <w:sz w:val="20"/>
          <w:szCs w:val="20"/>
          <w:lang w:val="it-IT"/>
        </w:rPr>
        <w:t>Ramo</w:t>
      </w:r>
      <w:r w:rsidRPr="00656794">
        <w:rPr>
          <w:rFonts w:ascii="Arial" w:hAnsi="Arial" w:cs="Arial"/>
          <w:color w:val="000000"/>
          <w:sz w:val="20"/>
          <w:szCs w:val="20"/>
          <w:lang w:val="it-IT"/>
        </w:rPr>
        <w:t xml:space="preserve"> 1, ma il regime specifica limiti quantitativi in ​​merito a quanto del capitale utilizzato per coprire i requisiti regolamentari può comprendere fondi propri di </w:t>
      </w:r>
      <w:r w:rsidR="00581149" w:rsidRPr="00656794">
        <w:rPr>
          <w:rFonts w:ascii="Arial" w:hAnsi="Arial" w:cs="Arial"/>
          <w:color w:val="000000"/>
          <w:sz w:val="20"/>
          <w:szCs w:val="20"/>
          <w:lang w:val="it-IT"/>
        </w:rPr>
        <w:t>Ramo</w:t>
      </w:r>
      <w:r w:rsidRPr="00656794">
        <w:rPr>
          <w:rFonts w:ascii="Arial" w:hAnsi="Arial" w:cs="Arial"/>
          <w:color w:val="000000"/>
          <w:sz w:val="20"/>
          <w:szCs w:val="20"/>
          <w:lang w:val="it-IT"/>
        </w:rPr>
        <w:t xml:space="preserve"> 2 e di </w:t>
      </w:r>
      <w:r w:rsidR="00581149" w:rsidRPr="00656794">
        <w:rPr>
          <w:rFonts w:ascii="Arial" w:hAnsi="Arial" w:cs="Arial"/>
          <w:color w:val="000000"/>
          <w:sz w:val="20"/>
          <w:szCs w:val="20"/>
          <w:lang w:val="it-IT"/>
        </w:rPr>
        <w:t>Ramo</w:t>
      </w:r>
      <w:r w:rsidRPr="00656794">
        <w:rPr>
          <w:rFonts w:ascii="Arial" w:hAnsi="Arial" w:cs="Arial"/>
          <w:color w:val="000000"/>
          <w:sz w:val="20"/>
          <w:szCs w:val="20"/>
          <w:lang w:val="it-IT"/>
        </w:rPr>
        <w:t xml:space="preserve"> 3.</w:t>
      </w:r>
    </w:p>
    <w:p w14:paraId="5095F8E1" w14:textId="77777777"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 requisiti patrimoniali previsti da Solvency II comprendono il requisito patrimoniale minimo, o MCR, e il requisito patrimoniale di solvibilità, o SCR.</w:t>
      </w:r>
    </w:p>
    <w:p w14:paraId="2479B2F2" w14:textId="183EF033"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rappresenta il capitale necessario per far fronte a rischi quantificabili sul portafoglio in essere ed è valutato applicando allo stato patrimoniale una serie di shock istantanei.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è calibrato su un valore a rischio del 99,5% e può essere valutato utilizzando una formula standard pubblicata dalle autorità di regolamentazione o attraverso un approccio di modello interno (con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approvazione regolamentare necessaria per utilizzare questo approccio). I rischi considerati nell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approccio della formula standard includono i rischi di mercato (quali tassi di interesse, spread sui tassi di interesse, valutazioni degli attivi e rischi di cambio), rischi di sottoscrizione vita (quali rischi di estinzione, spese, mortalità e longevità), rischi di sottoscrizione non vita (quali rischio catastrofale e rischio premio), rischio di credito e rischio operativo.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impegno normativo è richiesto se il livello di capitale disponibile scende al di sotto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w:t>
      </w:r>
    </w:p>
    <w:p w14:paraId="6BD2B445" w14:textId="19D51D19"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color w:val="000000"/>
          <w:sz w:val="20"/>
          <w:szCs w:val="20"/>
          <w:lang w:val="it-IT"/>
        </w:rPr>
        <w:t>Il MCR rappresenta il livello minimo assoluto di capitale che deve essere detenuto, determinato utilizzando una funzione lineare che considera, tra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altro,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xml:space="preserve">SCR, il capitale a rischio, le riserve tecniche, </w:t>
      </w:r>
      <w:r w:rsidRPr="00656794">
        <w:rPr>
          <w:rFonts w:ascii="Arial" w:hAnsi="Arial" w:cs="Arial"/>
          <w:color w:val="000000"/>
          <w:sz w:val="20"/>
          <w:szCs w:val="20"/>
          <w:lang w:val="it-IT"/>
        </w:rPr>
        <w:lastRenderedPageBreak/>
        <w:t>i premi contabilizzati e le spese amministrative. Per le compagnie di assicurazione sulla vita, il MCR ha un floor assoluto di 3,2 milioni di euro.</w:t>
      </w:r>
    </w:p>
    <w:p w14:paraId="0D5AAA6A" w14:textId="60E8FA17"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b/>
          <w:bCs/>
          <w:i/>
          <w:iCs/>
          <w:color w:val="000000"/>
          <w:sz w:val="20"/>
          <w:szCs w:val="20"/>
          <w:lang w:val="it-IT"/>
        </w:rPr>
        <w:t>Il secondo pilastro</w:t>
      </w:r>
      <w:r w:rsidRPr="00656794">
        <w:rPr>
          <w:rFonts w:ascii="Arial" w:hAnsi="Arial" w:cs="Arial"/>
          <w:color w:val="000000"/>
          <w:sz w:val="20"/>
          <w:szCs w:val="20"/>
          <w:lang w:val="it-IT"/>
        </w:rPr>
        <w:t xml:space="preserve"> si concentra qualitativamente sui sistemi di governo e di gestione dei rischi in essere e sulla supervisione di tali sistemi e controlli. In particolare, ciò include una revisione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Own Risk and Solvency Assessment (</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ORSA è una valutazione del fabbisogno di capitale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impresa che tiene conto del profilo di rischio specifico e della strategia dell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impresa. Analizza le aree in cui l</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SCR non riflette pienamente questo profilo di rischio.</w:t>
      </w:r>
    </w:p>
    <w:p w14:paraId="06FD48DB" w14:textId="7A41A4C3" w:rsidR="00215CE9" w:rsidRPr="00656794" w:rsidRDefault="00215CE9" w:rsidP="00215CE9">
      <w:pPr>
        <w:pStyle w:val="NormalWeb"/>
        <w:ind w:right="102"/>
        <w:jc w:val="both"/>
        <w:rPr>
          <w:rFonts w:ascii="Arial" w:hAnsi="Arial" w:cs="Arial"/>
          <w:color w:val="000000"/>
          <w:sz w:val="20"/>
          <w:szCs w:val="20"/>
          <w:lang w:val="it-IT"/>
        </w:rPr>
      </w:pPr>
      <w:r w:rsidRPr="00656794">
        <w:rPr>
          <w:rFonts w:ascii="Arial" w:hAnsi="Arial" w:cs="Arial"/>
          <w:b/>
          <w:bCs/>
          <w:i/>
          <w:iCs/>
          <w:color w:val="000000"/>
          <w:sz w:val="20"/>
          <w:szCs w:val="20"/>
          <w:lang w:val="it-IT"/>
        </w:rPr>
        <w:t>Il terzo pilastro</w:t>
      </w:r>
      <w:r w:rsidRPr="00656794">
        <w:rPr>
          <w:rFonts w:ascii="Arial" w:hAnsi="Arial" w:cs="Arial"/>
          <w:color w:val="000000"/>
          <w:sz w:val="20"/>
          <w:szCs w:val="20"/>
          <w:lang w:val="it-IT"/>
        </w:rPr>
        <w:t xml:space="preserve"> prevede la divulgazione delle condizioni finanziarie di un</w:t>
      </w:r>
      <w:r w:rsidR="00F23A40" w:rsidRPr="00656794">
        <w:rPr>
          <w:rFonts w:ascii="Arial" w:hAnsi="Arial" w:cs="Arial"/>
          <w:color w:val="000000"/>
          <w:sz w:val="20"/>
          <w:szCs w:val="20"/>
          <w:lang w:val="it-IT"/>
        </w:rPr>
        <w:t>’</w:t>
      </w:r>
      <w:r w:rsidRPr="00656794">
        <w:rPr>
          <w:rFonts w:ascii="Arial" w:hAnsi="Arial" w:cs="Arial"/>
          <w:color w:val="000000"/>
          <w:sz w:val="20"/>
          <w:szCs w:val="20"/>
          <w:lang w:val="it-IT"/>
        </w:rPr>
        <w:t>impresa al fine di migliorare la trasparenza verso gli estranei e considera il modo in cui le informazioni vengono divulgate sia alle autorità di regolamentazione che al pubblico in generale.</w:t>
      </w:r>
    </w:p>
    <w:p w14:paraId="079A221C" w14:textId="3F1B4B7D" w:rsidR="00215CE9" w:rsidRPr="00656794" w:rsidRDefault="00215CE9" w:rsidP="00215CE9">
      <w:pPr>
        <w:pStyle w:val="NormalWeb"/>
        <w:ind w:right="102"/>
        <w:jc w:val="both"/>
        <w:rPr>
          <w:rFonts w:ascii="Arial" w:hAnsi="Arial" w:cs="Arial"/>
          <w:color w:val="000000"/>
          <w:sz w:val="20"/>
          <w:szCs w:val="20"/>
          <w:lang w:val="it-IT"/>
        </w:rPr>
      </w:pPr>
    </w:p>
    <w:p w14:paraId="29F3833B" w14:textId="77777777" w:rsidR="00CC0F8E" w:rsidRPr="00656794" w:rsidRDefault="00CC0F8E">
      <w:pPr>
        <w:rPr>
          <w:rFonts w:ascii="Arial" w:eastAsia="Times New Roman" w:hAnsi="Arial" w:cs="Arial"/>
          <w:color w:val="00338D"/>
          <w:sz w:val="28"/>
          <w:szCs w:val="28"/>
          <w:lang w:val="it-IT" w:eastAsia="en-IE"/>
        </w:rPr>
      </w:pPr>
      <w:r w:rsidRPr="00656794">
        <w:rPr>
          <w:rFonts w:ascii="Arial" w:eastAsia="Times New Roman" w:hAnsi="Arial" w:cs="Arial"/>
          <w:color w:val="00338D"/>
          <w:sz w:val="28"/>
          <w:szCs w:val="28"/>
          <w:lang w:val="it-IT" w:eastAsia="en-IE"/>
        </w:rPr>
        <w:br w:type="page"/>
      </w:r>
    </w:p>
    <w:p w14:paraId="5FEDAFE1" w14:textId="5B717071" w:rsidR="00215CE9" w:rsidRPr="00656794" w:rsidRDefault="00D27C34" w:rsidP="00D27C34">
      <w:pPr>
        <w:spacing w:before="496" w:after="0" w:line="240" w:lineRule="auto"/>
        <w:rPr>
          <w:rFonts w:ascii="Times New Roman" w:eastAsia="Times New Roman" w:hAnsi="Times New Roman" w:cs="Times New Roman"/>
          <w:sz w:val="24"/>
          <w:szCs w:val="24"/>
          <w:lang w:val="it-IT" w:eastAsia="en-IE"/>
        </w:rPr>
      </w:pPr>
      <w:r w:rsidRPr="00656794">
        <w:rPr>
          <w:rFonts w:ascii="Arial" w:eastAsia="Times New Roman" w:hAnsi="Arial" w:cs="Arial"/>
          <w:color w:val="00338D"/>
          <w:sz w:val="28"/>
          <w:szCs w:val="28"/>
          <w:lang w:val="it-IT" w:eastAsia="en-IE"/>
        </w:rPr>
        <w:lastRenderedPageBreak/>
        <w:t>Appendice 6 Glossario</w:t>
      </w:r>
    </w:p>
    <w:tbl>
      <w:tblPr>
        <w:tblW w:w="0" w:type="auto"/>
        <w:tblCellMar>
          <w:top w:w="15" w:type="dxa"/>
          <w:left w:w="15" w:type="dxa"/>
          <w:bottom w:w="15" w:type="dxa"/>
          <w:right w:w="15" w:type="dxa"/>
        </w:tblCellMar>
        <w:tblLook w:val="04A0" w:firstRow="1" w:lastRow="0" w:firstColumn="1" w:lastColumn="0" w:noHBand="0" w:noVBand="1"/>
      </w:tblPr>
      <w:tblGrid>
        <w:gridCol w:w="1490"/>
        <w:gridCol w:w="7516"/>
      </w:tblGrid>
      <w:tr w:rsidR="00215CE9" w:rsidRPr="00656794" w14:paraId="1F33567B" w14:textId="77777777" w:rsidTr="00B75A9E">
        <w:trPr>
          <w:trHeight w:val="39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00" w:type="dxa"/>
              <w:left w:w="100" w:type="dxa"/>
              <w:bottom w:w="100" w:type="dxa"/>
              <w:right w:w="100" w:type="dxa"/>
            </w:tcMar>
            <w:hideMark/>
          </w:tcPr>
          <w:p w14:paraId="2F8BBF36" w14:textId="349DF54D" w:rsidR="00215CE9" w:rsidRPr="00656794" w:rsidRDefault="00215CE9" w:rsidP="00B75A9E">
            <w:pPr>
              <w:spacing w:after="0" w:line="240" w:lineRule="auto"/>
              <w:rPr>
                <w:rFonts w:ascii="Arial" w:eastAsia="Times New Roman" w:hAnsi="Arial" w:cs="Arial"/>
                <w:sz w:val="24"/>
                <w:szCs w:val="24"/>
                <w:lang w:val="it-IT" w:eastAsia="en-IE"/>
              </w:rPr>
            </w:pPr>
            <w:r w:rsidRPr="00656794">
              <w:rPr>
                <w:rFonts w:ascii="Arial" w:eastAsia="Times New Roman" w:hAnsi="Arial" w:cs="Arial"/>
                <w:sz w:val="20"/>
                <w:szCs w:val="20"/>
                <w:lang w:val="it-IT" w:eastAsia="en-IE"/>
              </w:rPr>
              <w:t>Glossa</w:t>
            </w:r>
            <w:r w:rsidR="00D27C34" w:rsidRPr="00656794">
              <w:rPr>
                <w:rFonts w:ascii="Arial" w:eastAsia="Times New Roman" w:hAnsi="Arial" w:cs="Arial"/>
                <w:sz w:val="20"/>
                <w:szCs w:val="20"/>
                <w:lang w:val="it-IT" w:eastAsia="en-IE"/>
              </w:rPr>
              <w:t>rio</w:t>
            </w:r>
          </w:p>
        </w:tc>
      </w:tr>
      <w:tr w:rsidR="00215CE9" w:rsidRPr="00656794" w14:paraId="7DA4BF5B" w14:textId="77777777" w:rsidTr="00B75A9E">
        <w:trPr>
          <w:trHeight w:val="335"/>
        </w:trPr>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0F897AB0" w14:textId="032C0FBC" w:rsidR="00215CE9" w:rsidRPr="00656794" w:rsidRDefault="00215CE9" w:rsidP="00B75A9E">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Term</w:t>
            </w:r>
            <w:r w:rsidR="00D27C34" w:rsidRPr="00656794">
              <w:rPr>
                <w:rFonts w:ascii="Arial" w:eastAsia="Times New Roman" w:hAnsi="Arial" w:cs="Arial"/>
                <w:b/>
                <w:bCs/>
                <w:color w:val="000000"/>
                <w:sz w:val="18"/>
                <w:szCs w:val="18"/>
                <w:lang w:val="it-IT" w:eastAsia="en-IE"/>
              </w:rPr>
              <w:t>ine</w:t>
            </w:r>
          </w:p>
        </w:tc>
        <w:tc>
          <w:tcPr>
            <w:tcW w:w="0" w:type="auto"/>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hideMark/>
          </w:tcPr>
          <w:p w14:paraId="283468C9" w14:textId="3944E817" w:rsidR="00215CE9" w:rsidRPr="00656794" w:rsidRDefault="00215CE9" w:rsidP="00B75A9E">
            <w:pPr>
              <w:spacing w:after="0" w:line="240" w:lineRule="auto"/>
              <w:ind w:left="132"/>
              <w:jc w:val="center"/>
              <w:rPr>
                <w:rFonts w:ascii="Arial" w:eastAsia="Times New Roman" w:hAnsi="Arial" w:cs="Arial"/>
                <w:b/>
                <w:bCs/>
                <w:color w:val="000000"/>
                <w:sz w:val="18"/>
                <w:szCs w:val="18"/>
                <w:lang w:val="it-IT" w:eastAsia="en-IE"/>
              </w:rPr>
            </w:pPr>
            <w:r w:rsidRPr="00656794">
              <w:rPr>
                <w:rFonts w:ascii="Arial" w:eastAsia="Times New Roman" w:hAnsi="Arial" w:cs="Arial"/>
                <w:b/>
                <w:bCs/>
                <w:color w:val="000000"/>
                <w:sz w:val="18"/>
                <w:szCs w:val="18"/>
                <w:lang w:val="it-IT" w:eastAsia="en-IE"/>
              </w:rPr>
              <w:t>Defini</w:t>
            </w:r>
            <w:r w:rsidR="00D27C34" w:rsidRPr="00656794">
              <w:rPr>
                <w:rFonts w:ascii="Arial" w:eastAsia="Times New Roman" w:hAnsi="Arial" w:cs="Arial"/>
                <w:b/>
                <w:bCs/>
                <w:color w:val="000000"/>
                <w:sz w:val="18"/>
                <w:szCs w:val="18"/>
                <w:lang w:val="it-IT" w:eastAsia="en-IE"/>
              </w:rPr>
              <w:t>zione</w:t>
            </w:r>
          </w:p>
        </w:tc>
      </w:tr>
      <w:tr w:rsidR="00215CE9" w:rsidRPr="00656794" w14:paraId="04745B96" w14:textId="77777777" w:rsidTr="00215CE9">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E0C2E" w14:textId="77777777" w:rsidR="00215CE9" w:rsidRPr="00656794" w:rsidRDefault="00215CE9" w:rsidP="00215CE9">
            <w:pPr>
              <w:spacing w:after="0" w:line="240" w:lineRule="auto"/>
              <w:ind w:left="118"/>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AA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61FF2" w14:textId="6CFB0F86" w:rsidR="00215CE9" w:rsidRPr="00656794" w:rsidRDefault="00E91BDF" w:rsidP="00215CE9">
            <w:pPr>
              <w:spacing w:after="0" w:line="240" w:lineRule="auto"/>
              <w:ind w:left="118"/>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Attuario incaricato</w:t>
            </w:r>
          </w:p>
        </w:tc>
      </w:tr>
      <w:tr w:rsidR="00E36EC7" w:rsidRPr="00656794" w14:paraId="3F8B4961"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EA46B5" w14:textId="77777777" w:rsidR="00E36EC7" w:rsidRPr="00656794" w:rsidRDefault="00E36EC7" w:rsidP="00E36EC7">
            <w:pPr>
              <w:spacing w:after="0" w:line="240" w:lineRule="auto"/>
              <w:ind w:left="118"/>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ABI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776F3" w14:textId="6F0F130B" w:rsidR="00E36EC7" w:rsidRPr="00656794" w:rsidRDefault="00E36EC7" w:rsidP="00E36EC7">
            <w:pPr>
              <w:spacing w:after="0" w:line="240" w:lineRule="auto"/>
              <w:ind w:left="118"/>
              <w:rPr>
                <w:rFonts w:ascii="Arial" w:eastAsia="Times New Roman" w:hAnsi="Arial" w:cs="Arial"/>
                <w:sz w:val="18"/>
                <w:szCs w:val="18"/>
                <w:lang w:val="it-IT" w:eastAsia="en-IE"/>
              </w:rPr>
            </w:pPr>
            <w:r w:rsidRPr="00656794">
              <w:rPr>
                <w:rFonts w:ascii="Arial" w:hAnsi="Arial" w:cs="Arial"/>
                <w:sz w:val="18"/>
                <w:szCs w:val="18"/>
                <w:lang w:val="it-IT"/>
              </w:rPr>
              <w:t>Associazione degli assicuratori britannici</w:t>
            </w:r>
          </w:p>
        </w:tc>
      </w:tr>
      <w:tr w:rsidR="00E36EC7" w:rsidRPr="00656794" w14:paraId="7BC0EA53"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AE6E1" w14:textId="77777777" w:rsidR="00E36EC7" w:rsidRPr="00656794" w:rsidRDefault="00E36EC7" w:rsidP="00E36EC7">
            <w:pPr>
              <w:spacing w:after="0" w:line="240" w:lineRule="auto"/>
              <w:ind w:left="118"/>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ASP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81B02" w14:textId="2D7E4E8F" w:rsidR="00E36EC7" w:rsidRPr="00656794" w:rsidRDefault="00E36EC7" w:rsidP="00E36EC7">
            <w:pPr>
              <w:spacing w:after="0" w:line="240" w:lineRule="auto"/>
              <w:ind w:left="118"/>
              <w:rPr>
                <w:rFonts w:ascii="Arial" w:eastAsia="Times New Roman" w:hAnsi="Arial" w:cs="Arial"/>
                <w:sz w:val="18"/>
                <w:szCs w:val="18"/>
                <w:lang w:val="it-IT" w:eastAsia="en-IE"/>
              </w:rPr>
            </w:pPr>
            <w:r w:rsidRPr="00656794">
              <w:rPr>
                <w:rFonts w:ascii="Arial" w:hAnsi="Arial" w:cs="Arial"/>
                <w:sz w:val="18"/>
                <w:szCs w:val="18"/>
                <w:lang w:val="it-IT"/>
              </w:rPr>
              <w:t>Standard di pratica attuariale</w:t>
            </w:r>
            <w:r w:rsidR="00176044" w:rsidRPr="00656794">
              <w:rPr>
                <w:rFonts w:ascii="Arial" w:hAnsi="Arial" w:cs="Arial"/>
                <w:sz w:val="18"/>
                <w:szCs w:val="18"/>
                <w:lang w:val="it-IT"/>
              </w:rPr>
              <w:t xml:space="preserve"> </w:t>
            </w:r>
          </w:p>
        </w:tc>
      </w:tr>
      <w:tr w:rsidR="00E36EC7" w:rsidRPr="00867942" w14:paraId="44975104"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A60BF" w14:textId="77777777" w:rsidR="00E36EC7" w:rsidRPr="00656794" w:rsidRDefault="00E36EC7" w:rsidP="00E36EC7">
            <w:pPr>
              <w:spacing w:after="0" w:line="240" w:lineRule="auto"/>
              <w:ind w:left="118"/>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ASP LA-6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E5D1F" w14:textId="2877E14A" w:rsidR="00E36EC7" w:rsidRPr="00656794" w:rsidRDefault="00E36EC7" w:rsidP="00E36EC7">
            <w:pPr>
              <w:spacing w:after="0" w:line="240" w:lineRule="auto"/>
              <w:ind w:left="122"/>
              <w:rPr>
                <w:rFonts w:ascii="Arial" w:eastAsia="Times New Roman" w:hAnsi="Arial" w:cs="Arial"/>
                <w:sz w:val="18"/>
                <w:szCs w:val="18"/>
                <w:lang w:val="it-IT" w:eastAsia="en-IE"/>
              </w:rPr>
            </w:pPr>
            <w:r w:rsidRPr="00656794">
              <w:rPr>
                <w:rFonts w:ascii="Arial" w:hAnsi="Arial" w:cs="Arial"/>
                <w:sz w:val="18"/>
                <w:szCs w:val="18"/>
                <w:lang w:val="it-IT"/>
              </w:rPr>
              <w:t>Trasferimento di attività a lungo termine di una compagnia di assicurazioni autorizzata</w:t>
            </w:r>
          </w:p>
        </w:tc>
      </w:tr>
      <w:tr w:rsidR="00E36EC7" w:rsidRPr="00656794" w14:paraId="0B5D3C3E"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BEFB9" w14:textId="77777777" w:rsidR="00E36EC7" w:rsidRPr="00656794" w:rsidRDefault="00E36EC7" w:rsidP="00E36EC7">
            <w:pPr>
              <w:spacing w:after="0" w:line="240" w:lineRule="auto"/>
              <w:ind w:left="131"/>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BEL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89446" w14:textId="20F3DBE2" w:rsidR="00E36EC7" w:rsidRPr="00656794" w:rsidRDefault="00E36EC7" w:rsidP="00E36EC7">
            <w:pPr>
              <w:spacing w:after="0" w:line="240" w:lineRule="auto"/>
              <w:ind w:left="131"/>
              <w:rPr>
                <w:rFonts w:ascii="Arial" w:eastAsia="Times New Roman" w:hAnsi="Arial" w:cs="Arial"/>
                <w:sz w:val="18"/>
                <w:szCs w:val="18"/>
                <w:lang w:val="it-IT" w:eastAsia="en-IE"/>
              </w:rPr>
            </w:pPr>
            <w:r w:rsidRPr="00656794">
              <w:rPr>
                <w:rFonts w:ascii="Arial" w:hAnsi="Arial" w:cs="Arial"/>
                <w:sz w:val="18"/>
                <w:szCs w:val="18"/>
                <w:lang w:val="it-IT"/>
              </w:rPr>
              <w:t xml:space="preserve">Migliore stima di </w:t>
            </w:r>
            <w:r w:rsidR="0070253E">
              <w:rPr>
                <w:rFonts w:ascii="Arial" w:hAnsi="Arial" w:cs="Arial"/>
                <w:sz w:val="18"/>
                <w:szCs w:val="18"/>
                <w:lang w:val="it-IT"/>
              </w:rPr>
              <w:t>passività</w:t>
            </w:r>
          </w:p>
        </w:tc>
      </w:tr>
      <w:tr w:rsidR="00E36EC7" w:rsidRPr="00867942" w14:paraId="1B9BEF0F" w14:textId="77777777" w:rsidTr="00215CE9">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CBEEA" w14:textId="77777777" w:rsidR="00E36EC7" w:rsidRPr="00656794" w:rsidRDefault="00E36EC7" w:rsidP="00E36EC7">
            <w:pPr>
              <w:spacing w:after="0" w:line="240" w:lineRule="auto"/>
              <w:ind w:left="131"/>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Brexit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4C6D0" w14:textId="46448AD6" w:rsidR="00E36EC7" w:rsidRPr="00656794" w:rsidRDefault="00E36EC7" w:rsidP="00E36EC7">
            <w:pPr>
              <w:spacing w:after="0" w:line="240" w:lineRule="auto"/>
              <w:ind w:left="122" w:right="813" w:hanging="10"/>
              <w:rPr>
                <w:rFonts w:ascii="Arial" w:eastAsia="Times New Roman" w:hAnsi="Arial" w:cs="Arial"/>
                <w:sz w:val="18"/>
                <w:szCs w:val="18"/>
                <w:lang w:val="it-IT" w:eastAsia="en-IE"/>
              </w:rPr>
            </w:pPr>
            <w:r w:rsidRPr="00656794">
              <w:rPr>
                <w:rFonts w:ascii="Arial" w:hAnsi="Arial" w:cs="Arial"/>
                <w:sz w:val="18"/>
                <w:szCs w:val="18"/>
                <w:lang w:val="it-IT"/>
              </w:rPr>
              <w:t>Termine utilizzato per indicare l</w:t>
            </w:r>
            <w:r w:rsidR="00F23A40" w:rsidRPr="00656794">
              <w:rPr>
                <w:rFonts w:ascii="Arial" w:hAnsi="Arial" w:cs="Arial"/>
                <w:sz w:val="18"/>
                <w:szCs w:val="18"/>
                <w:lang w:val="it-IT"/>
              </w:rPr>
              <w:t>’</w:t>
            </w:r>
            <w:r w:rsidRPr="00656794">
              <w:rPr>
                <w:rFonts w:ascii="Arial" w:hAnsi="Arial" w:cs="Arial"/>
                <w:sz w:val="18"/>
                <w:szCs w:val="18"/>
                <w:lang w:val="it-IT"/>
              </w:rPr>
              <w:t>uscita del Regno Unito dall</w:t>
            </w:r>
            <w:r w:rsidR="00F23A40" w:rsidRPr="00656794">
              <w:rPr>
                <w:rFonts w:ascii="Arial" w:hAnsi="Arial" w:cs="Arial"/>
                <w:sz w:val="18"/>
                <w:szCs w:val="18"/>
                <w:lang w:val="it-IT"/>
              </w:rPr>
              <w:t>’</w:t>
            </w:r>
            <w:r w:rsidRPr="00656794">
              <w:rPr>
                <w:rFonts w:ascii="Arial" w:hAnsi="Arial" w:cs="Arial"/>
                <w:sz w:val="18"/>
                <w:szCs w:val="18"/>
                <w:lang w:val="it-IT"/>
              </w:rPr>
              <w:t>Unione Europea</w:t>
            </w:r>
          </w:p>
        </w:tc>
      </w:tr>
      <w:tr w:rsidR="00E36EC7" w:rsidRPr="00656794" w14:paraId="68FC48D9"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ECF97" w14:textId="77777777" w:rsidR="00E36EC7" w:rsidRPr="00656794" w:rsidRDefault="00E36EC7" w:rsidP="00E36EC7">
            <w:pPr>
              <w:spacing w:after="0" w:line="240" w:lineRule="auto"/>
              <w:ind w:left="127"/>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Capita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EB616" w14:textId="07D280B8" w:rsidR="00E36EC7" w:rsidRPr="00656794" w:rsidRDefault="00E36EC7" w:rsidP="00E36EC7">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Capita Ireland Limited</w:t>
            </w:r>
          </w:p>
        </w:tc>
      </w:tr>
      <w:tr w:rsidR="00E36EC7" w:rsidRPr="00656794" w14:paraId="39A0F459"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3AB63" w14:textId="77777777" w:rsidR="00E36EC7" w:rsidRPr="00656794" w:rsidRDefault="00E36EC7" w:rsidP="00E36EC7">
            <w:pPr>
              <w:spacing w:after="0" w:line="240" w:lineRule="auto"/>
              <w:ind w:left="127"/>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CBI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2C6CA" w14:textId="5EF516B9" w:rsidR="00E36EC7" w:rsidRPr="00656794" w:rsidRDefault="00E36EC7" w:rsidP="00E36EC7">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Banca centrale d</w:t>
            </w:r>
            <w:r w:rsidR="00F23A40" w:rsidRPr="00656794">
              <w:rPr>
                <w:rFonts w:ascii="Arial" w:hAnsi="Arial" w:cs="Arial"/>
                <w:sz w:val="18"/>
                <w:szCs w:val="18"/>
                <w:lang w:val="it-IT"/>
              </w:rPr>
              <w:t>’</w:t>
            </w:r>
            <w:r w:rsidRPr="00656794">
              <w:rPr>
                <w:rFonts w:ascii="Arial" w:hAnsi="Arial" w:cs="Arial"/>
                <w:sz w:val="18"/>
                <w:szCs w:val="18"/>
                <w:lang w:val="it-IT"/>
              </w:rPr>
              <w:t>Irlanda</w:t>
            </w:r>
          </w:p>
        </w:tc>
      </w:tr>
      <w:tr w:rsidR="00E36EC7" w:rsidRPr="00656794" w14:paraId="13AA0279"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AC050" w14:textId="77777777" w:rsidR="00E36EC7" w:rsidRPr="00656794" w:rsidRDefault="00E36EC7" w:rsidP="00E36EC7">
            <w:pPr>
              <w:spacing w:after="0" w:line="240" w:lineRule="auto"/>
              <w:ind w:left="127"/>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CCO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0AFED" w14:textId="26599A31" w:rsidR="00E36EC7" w:rsidRPr="00656794" w:rsidRDefault="00E36EC7" w:rsidP="00E36EC7">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Responsabile della conformità</w:t>
            </w:r>
          </w:p>
        </w:tc>
      </w:tr>
      <w:tr w:rsidR="00E36EC7" w:rsidRPr="00656794" w14:paraId="449229A0"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D9AAB" w14:textId="77777777" w:rsidR="00E36EC7" w:rsidRPr="00656794" w:rsidRDefault="00E36EC7" w:rsidP="00E36EC7">
            <w:pPr>
              <w:spacing w:after="0" w:line="240" w:lineRule="auto"/>
              <w:ind w:left="127"/>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CEO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39398" w14:textId="14947864" w:rsidR="00E36EC7" w:rsidRPr="00656794" w:rsidRDefault="00E36EC7" w:rsidP="00E36EC7">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Amministratore delegato</w:t>
            </w:r>
          </w:p>
        </w:tc>
      </w:tr>
      <w:tr w:rsidR="00E36EC7" w:rsidRPr="00656794" w14:paraId="4F82E09F"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3BF42" w14:textId="77777777" w:rsidR="00E36EC7" w:rsidRPr="00656794" w:rsidRDefault="00E36EC7" w:rsidP="00E36EC7">
            <w:pPr>
              <w:spacing w:after="0" w:line="240" w:lineRule="auto"/>
              <w:ind w:left="127"/>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CFO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D228A" w14:textId="6D3DF1FF" w:rsidR="00E36EC7" w:rsidRPr="00656794" w:rsidRDefault="00E36EC7" w:rsidP="00E36EC7">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Capo dell</w:t>
            </w:r>
            <w:r w:rsidR="00F23A40" w:rsidRPr="00656794">
              <w:rPr>
                <w:rFonts w:ascii="Arial" w:hAnsi="Arial" w:cs="Arial"/>
                <w:sz w:val="18"/>
                <w:szCs w:val="18"/>
                <w:lang w:val="it-IT"/>
              </w:rPr>
              <w:t>’</w:t>
            </w:r>
            <w:r w:rsidRPr="00656794">
              <w:rPr>
                <w:rFonts w:ascii="Arial" w:hAnsi="Arial" w:cs="Arial"/>
                <w:sz w:val="18"/>
                <w:szCs w:val="18"/>
                <w:lang w:val="it-IT"/>
              </w:rPr>
              <w:t>ufficio finanziario</w:t>
            </w:r>
          </w:p>
        </w:tc>
      </w:tr>
      <w:tr w:rsidR="00E36EC7" w:rsidRPr="00656794" w14:paraId="552389E3"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02174" w14:textId="77777777" w:rsidR="00E36EC7" w:rsidRPr="00656794" w:rsidRDefault="00E36EC7" w:rsidP="00E36EC7">
            <w:pPr>
              <w:spacing w:after="0" w:line="240" w:lineRule="auto"/>
              <w:ind w:left="127"/>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CIO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05C59" w14:textId="311ADC57" w:rsidR="00E36EC7" w:rsidRPr="00656794" w:rsidRDefault="00E36EC7" w:rsidP="00E36EC7">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Responsabile delle informazioni</w:t>
            </w:r>
          </w:p>
        </w:tc>
      </w:tr>
      <w:tr w:rsidR="00E36EC7" w:rsidRPr="00656794" w14:paraId="756936FB"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DB536" w14:textId="77777777" w:rsidR="00E36EC7" w:rsidRPr="00656794" w:rsidRDefault="00E36EC7" w:rsidP="00E36EC7">
            <w:pPr>
              <w:spacing w:after="0" w:line="240" w:lineRule="auto"/>
              <w:ind w:left="127"/>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COO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DBA19" w14:textId="4EBA9C9E" w:rsidR="00E36EC7" w:rsidRPr="00656794" w:rsidRDefault="00E36EC7" w:rsidP="00E36EC7">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Ufficiale capo operazioni</w:t>
            </w:r>
          </w:p>
        </w:tc>
      </w:tr>
      <w:tr w:rsidR="00E36EC7" w:rsidRPr="00656794" w14:paraId="4E48C2BA"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F3C95" w14:textId="77777777" w:rsidR="00E36EC7" w:rsidRPr="00656794" w:rsidRDefault="00E36EC7" w:rsidP="00E36EC7">
            <w:pPr>
              <w:spacing w:after="0" w:line="240" w:lineRule="auto"/>
              <w:ind w:left="127"/>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CRO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414A5" w14:textId="66297BFF" w:rsidR="00E36EC7" w:rsidRPr="00656794" w:rsidRDefault="00E36EC7" w:rsidP="00E36EC7">
            <w:pPr>
              <w:spacing w:after="0" w:line="240" w:lineRule="auto"/>
              <w:ind w:left="127"/>
              <w:rPr>
                <w:rFonts w:ascii="Arial" w:eastAsia="Times New Roman" w:hAnsi="Arial" w:cs="Arial"/>
                <w:sz w:val="18"/>
                <w:szCs w:val="18"/>
                <w:lang w:val="it-IT" w:eastAsia="en-IE"/>
              </w:rPr>
            </w:pPr>
            <w:r w:rsidRPr="00656794">
              <w:rPr>
                <w:rFonts w:ascii="Arial" w:hAnsi="Arial" w:cs="Arial"/>
                <w:sz w:val="18"/>
                <w:szCs w:val="18"/>
                <w:lang w:val="it-IT"/>
              </w:rPr>
              <w:t>Chief Risk Officer</w:t>
            </w:r>
            <w:r w:rsidR="00F23A40" w:rsidRPr="00656794">
              <w:rPr>
                <w:rFonts w:ascii="Arial" w:hAnsi="Arial" w:cs="Arial"/>
                <w:sz w:val="18"/>
                <w:szCs w:val="18"/>
                <w:lang w:val="it-IT"/>
              </w:rPr>
              <w:t xml:space="preserve"> </w:t>
            </w:r>
          </w:p>
        </w:tc>
      </w:tr>
      <w:tr w:rsidR="00E36EC7" w:rsidRPr="00656794" w14:paraId="6141A987"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329AB" w14:textId="77777777" w:rsidR="00E36EC7" w:rsidRPr="00656794" w:rsidRDefault="00E36EC7" w:rsidP="00E36EC7">
            <w:pPr>
              <w:spacing w:after="0" w:line="240" w:lineRule="auto"/>
              <w:ind w:left="132"/>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ECM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265A0" w14:textId="6BDB41B9" w:rsidR="00E36EC7" w:rsidRPr="00656794" w:rsidRDefault="00E36EC7" w:rsidP="00E36EC7">
            <w:pPr>
              <w:spacing w:after="0" w:line="240" w:lineRule="auto"/>
              <w:ind w:left="132"/>
              <w:rPr>
                <w:rFonts w:ascii="Arial" w:eastAsia="Times New Roman" w:hAnsi="Arial" w:cs="Arial"/>
                <w:sz w:val="18"/>
                <w:szCs w:val="18"/>
                <w:lang w:val="it-IT" w:eastAsia="en-IE"/>
              </w:rPr>
            </w:pPr>
            <w:r w:rsidRPr="00656794">
              <w:rPr>
                <w:rFonts w:ascii="Arial" w:hAnsi="Arial" w:cs="Arial"/>
                <w:sz w:val="18"/>
                <w:szCs w:val="18"/>
                <w:lang w:val="it-IT"/>
              </w:rPr>
              <w:t>Modello di capitale economico</w:t>
            </w:r>
          </w:p>
        </w:tc>
      </w:tr>
      <w:tr w:rsidR="00E36EC7" w:rsidRPr="00867942" w14:paraId="4FAA1944"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18A5E" w14:textId="77777777" w:rsidR="00E36EC7" w:rsidRPr="00656794" w:rsidRDefault="00E36EC7" w:rsidP="00E36EC7">
            <w:pPr>
              <w:spacing w:after="0" w:line="240" w:lineRule="auto"/>
              <w:ind w:left="132"/>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EIOPA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60852" w14:textId="11D14846" w:rsidR="00E36EC7" w:rsidRPr="00656794" w:rsidRDefault="00E36EC7" w:rsidP="00E36EC7">
            <w:pPr>
              <w:spacing w:after="0" w:line="240" w:lineRule="auto"/>
              <w:ind w:left="132"/>
              <w:rPr>
                <w:rFonts w:ascii="Arial" w:eastAsia="Times New Roman" w:hAnsi="Arial" w:cs="Arial"/>
                <w:sz w:val="18"/>
                <w:szCs w:val="18"/>
                <w:lang w:val="it-IT" w:eastAsia="en-IE"/>
              </w:rPr>
            </w:pPr>
            <w:r w:rsidRPr="00656794">
              <w:rPr>
                <w:rFonts w:ascii="Arial" w:hAnsi="Arial" w:cs="Arial"/>
                <w:sz w:val="18"/>
                <w:szCs w:val="18"/>
                <w:lang w:val="it-IT"/>
              </w:rPr>
              <w:t>Autorità europea delle assicurazioni e delle pensioni aziendali e professionali</w:t>
            </w:r>
          </w:p>
        </w:tc>
      </w:tr>
      <w:tr w:rsidR="00E36EC7" w:rsidRPr="00867942" w14:paraId="378942A6"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8199F" w14:textId="77777777" w:rsidR="00E36EC7" w:rsidRPr="00656794" w:rsidRDefault="00E36EC7" w:rsidP="00E36EC7">
            <w:pPr>
              <w:spacing w:after="0" w:line="240" w:lineRule="auto"/>
              <w:ind w:left="132"/>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ERM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BD363" w14:textId="1C242339" w:rsidR="00E36EC7" w:rsidRPr="00656794" w:rsidRDefault="00E36EC7" w:rsidP="00E36EC7">
            <w:pPr>
              <w:spacing w:after="0" w:line="240" w:lineRule="auto"/>
              <w:ind w:left="132"/>
              <w:rPr>
                <w:rFonts w:ascii="Arial" w:eastAsia="Times New Roman" w:hAnsi="Arial" w:cs="Arial"/>
                <w:sz w:val="18"/>
                <w:szCs w:val="18"/>
                <w:lang w:val="it-IT" w:eastAsia="en-IE"/>
              </w:rPr>
            </w:pPr>
            <w:r w:rsidRPr="00656794">
              <w:rPr>
                <w:rFonts w:ascii="Arial" w:hAnsi="Arial" w:cs="Arial"/>
                <w:sz w:val="18"/>
                <w:szCs w:val="18"/>
                <w:lang w:val="it-IT"/>
              </w:rPr>
              <w:t>Gestione del rischio di impresa</w:t>
            </w:r>
          </w:p>
        </w:tc>
      </w:tr>
      <w:tr w:rsidR="00E36EC7" w:rsidRPr="00656794" w14:paraId="74469714"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EB14C" w14:textId="77777777" w:rsidR="00E36EC7" w:rsidRPr="00656794" w:rsidRDefault="00E36EC7" w:rsidP="00E36EC7">
            <w:pPr>
              <w:spacing w:after="0" w:line="240" w:lineRule="auto"/>
              <w:ind w:left="132"/>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EU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48607" w14:textId="7CA038F5" w:rsidR="00E36EC7" w:rsidRPr="00656794" w:rsidRDefault="00E36EC7" w:rsidP="00E36EC7">
            <w:pPr>
              <w:spacing w:after="0" w:line="240" w:lineRule="auto"/>
              <w:ind w:left="132"/>
              <w:rPr>
                <w:rFonts w:ascii="Arial" w:eastAsia="Times New Roman" w:hAnsi="Arial" w:cs="Arial"/>
                <w:sz w:val="18"/>
                <w:szCs w:val="18"/>
                <w:lang w:val="it-IT" w:eastAsia="en-IE"/>
              </w:rPr>
            </w:pPr>
            <w:r w:rsidRPr="00656794">
              <w:rPr>
                <w:rFonts w:ascii="Arial" w:hAnsi="Arial" w:cs="Arial"/>
                <w:sz w:val="18"/>
                <w:szCs w:val="18"/>
                <w:lang w:val="it-IT"/>
              </w:rPr>
              <w:t>Unione europea</w:t>
            </w:r>
          </w:p>
        </w:tc>
      </w:tr>
      <w:tr w:rsidR="00E36EC7" w:rsidRPr="00867942" w14:paraId="1B01B88F" w14:textId="77777777" w:rsidTr="00215CE9">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EC09E" w14:textId="77777777" w:rsidR="00E36EC7" w:rsidRPr="00656794" w:rsidRDefault="00E36EC7" w:rsidP="00E36EC7">
            <w:pPr>
              <w:spacing w:after="0" w:line="240" w:lineRule="auto"/>
              <w:ind w:left="134"/>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20"/>
                <w:szCs w:val="20"/>
                <w:shd w:val="clear" w:color="auto" w:fill="FFFFFF"/>
                <w:lang w:val="it-IT" w:eastAsia="en-IE"/>
              </w:rPr>
              <w:t>FOCC/PICC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04C08" w14:textId="4886552C" w:rsidR="00E36EC7" w:rsidRPr="00656794" w:rsidRDefault="00E36EC7" w:rsidP="00E36EC7">
            <w:pPr>
              <w:spacing w:after="0" w:line="240" w:lineRule="auto"/>
              <w:ind w:left="127" w:right="232" w:firstLine="6"/>
              <w:rPr>
                <w:rFonts w:ascii="Arial" w:eastAsia="Times New Roman" w:hAnsi="Arial" w:cs="Arial"/>
                <w:sz w:val="18"/>
                <w:szCs w:val="18"/>
                <w:lang w:val="it-IT" w:eastAsia="en-IE"/>
              </w:rPr>
            </w:pPr>
            <w:r w:rsidRPr="00656794">
              <w:rPr>
                <w:rFonts w:ascii="Arial" w:hAnsi="Arial" w:cs="Arial"/>
                <w:sz w:val="18"/>
                <w:szCs w:val="18"/>
                <w:lang w:val="it-IT"/>
              </w:rPr>
              <w:t>Comitato Finanza, Operazioni e Conformità e Comitato Pianificazione, IT e Cambiamento</w:t>
            </w:r>
          </w:p>
        </w:tc>
      </w:tr>
      <w:tr w:rsidR="00E36EC7" w:rsidRPr="00867942" w14:paraId="6A5DDA1D"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1FDC6" w14:textId="77777777" w:rsidR="00E36EC7" w:rsidRPr="00656794" w:rsidRDefault="00E36EC7" w:rsidP="00E36EC7">
            <w:pPr>
              <w:spacing w:after="0" w:line="240" w:lineRule="auto"/>
              <w:ind w:left="132"/>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FSPO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154C5" w14:textId="5AEEF4D6" w:rsidR="00E36EC7" w:rsidRPr="00656794" w:rsidRDefault="00E36EC7" w:rsidP="00E36EC7">
            <w:pPr>
              <w:spacing w:after="0" w:line="240" w:lineRule="auto"/>
              <w:ind w:left="132"/>
              <w:rPr>
                <w:rFonts w:ascii="Arial" w:eastAsia="Times New Roman" w:hAnsi="Arial" w:cs="Arial"/>
                <w:sz w:val="18"/>
                <w:szCs w:val="18"/>
                <w:lang w:val="it-IT" w:eastAsia="en-IE"/>
              </w:rPr>
            </w:pPr>
            <w:r w:rsidRPr="00656794">
              <w:rPr>
                <w:rFonts w:ascii="Arial" w:hAnsi="Arial" w:cs="Arial"/>
                <w:sz w:val="18"/>
                <w:szCs w:val="18"/>
                <w:lang w:val="it-IT"/>
              </w:rPr>
              <w:t>Mediatore per i servizi finanziari e le pensioni</w:t>
            </w:r>
          </w:p>
        </w:tc>
      </w:tr>
      <w:tr w:rsidR="00E36EC7" w:rsidRPr="00656794" w14:paraId="796D137C"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56E7E" w14:textId="77777777" w:rsidR="00E36EC7" w:rsidRPr="00656794" w:rsidRDefault="00E36EC7" w:rsidP="00E36EC7">
            <w:pPr>
              <w:spacing w:after="0" w:line="240" w:lineRule="auto"/>
              <w:ind w:left="132"/>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FTE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C9716" w14:textId="01267829" w:rsidR="00E36EC7" w:rsidRPr="00656794" w:rsidRDefault="00E36EC7" w:rsidP="00E36EC7">
            <w:pPr>
              <w:spacing w:after="0" w:line="240" w:lineRule="auto"/>
              <w:ind w:left="132"/>
              <w:rPr>
                <w:rFonts w:ascii="Arial" w:eastAsia="Times New Roman" w:hAnsi="Arial" w:cs="Arial"/>
                <w:sz w:val="18"/>
                <w:szCs w:val="18"/>
                <w:lang w:val="it-IT" w:eastAsia="en-IE"/>
              </w:rPr>
            </w:pPr>
            <w:r w:rsidRPr="00656794">
              <w:rPr>
                <w:rFonts w:ascii="Arial" w:hAnsi="Arial" w:cs="Arial"/>
                <w:sz w:val="18"/>
                <w:szCs w:val="18"/>
                <w:lang w:val="it-IT"/>
              </w:rPr>
              <w:t>Equivalenti a tempo pieno</w:t>
            </w:r>
          </w:p>
        </w:tc>
      </w:tr>
      <w:tr w:rsidR="00E36EC7" w:rsidRPr="00656794" w14:paraId="3EC08A1F"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17CD9" w14:textId="77777777" w:rsidR="00E36EC7" w:rsidRPr="00656794" w:rsidRDefault="00E36EC7" w:rsidP="00E36EC7">
            <w:pPr>
              <w:spacing w:after="0" w:line="240" w:lineRule="auto"/>
              <w:ind w:left="132"/>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HoAF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F73F7" w14:textId="0FA80287" w:rsidR="00E36EC7" w:rsidRPr="00656794" w:rsidRDefault="00E36EC7" w:rsidP="00E36EC7">
            <w:pPr>
              <w:spacing w:after="0" w:line="240" w:lineRule="auto"/>
              <w:ind w:left="132"/>
              <w:rPr>
                <w:rFonts w:ascii="Arial" w:eastAsia="Times New Roman" w:hAnsi="Arial" w:cs="Arial"/>
                <w:sz w:val="18"/>
                <w:szCs w:val="18"/>
                <w:lang w:val="it-IT" w:eastAsia="en-IE"/>
              </w:rPr>
            </w:pPr>
            <w:r w:rsidRPr="00656794">
              <w:rPr>
                <w:rFonts w:ascii="Arial" w:hAnsi="Arial" w:cs="Arial"/>
                <w:sz w:val="18"/>
                <w:szCs w:val="18"/>
                <w:lang w:val="it-IT"/>
              </w:rPr>
              <w:t>Responsabile della funzione attuariale</w:t>
            </w:r>
          </w:p>
        </w:tc>
      </w:tr>
      <w:tr w:rsidR="00E36EC7" w:rsidRPr="00867942" w14:paraId="009DEAE1"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F945C" w14:textId="77777777" w:rsidR="00E36EC7" w:rsidRPr="00656794" w:rsidRDefault="00E36EC7" w:rsidP="00E36EC7">
            <w:pPr>
              <w:spacing w:after="0" w:line="240" w:lineRule="auto"/>
              <w:ind w:left="134"/>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IFRS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B8A1A" w14:textId="2E8668B1" w:rsidR="00E36EC7" w:rsidRPr="00656794" w:rsidRDefault="00E36EC7" w:rsidP="00E36EC7">
            <w:pPr>
              <w:spacing w:after="0" w:line="240" w:lineRule="auto"/>
              <w:ind w:left="134"/>
              <w:rPr>
                <w:rFonts w:ascii="Arial" w:eastAsia="Times New Roman" w:hAnsi="Arial" w:cs="Arial"/>
                <w:sz w:val="18"/>
                <w:szCs w:val="18"/>
                <w:lang w:val="it-IT" w:eastAsia="en-IE"/>
              </w:rPr>
            </w:pPr>
            <w:r w:rsidRPr="00656794">
              <w:rPr>
                <w:rFonts w:ascii="Arial" w:hAnsi="Arial" w:cs="Arial"/>
                <w:sz w:val="18"/>
                <w:szCs w:val="18"/>
                <w:lang w:val="it-IT"/>
              </w:rPr>
              <w:t>Standard internazionali di rendicontazione finanziaria</w:t>
            </w:r>
          </w:p>
        </w:tc>
      </w:tr>
      <w:tr w:rsidR="00E36EC7" w:rsidRPr="00656794" w14:paraId="7296CF71"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86EA3" w14:textId="77777777" w:rsidR="00E36EC7" w:rsidRPr="00656794" w:rsidRDefault="00E36EC7" w:rsidP="00E36EC7">
            <w:pPr>
              <w:spacing w:after="0" w:line="240" w:lineRule="auto"/>
              <w:ind w:left="134"/>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lastRenderedPageBreak/>
              <w:t>IPB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94633" w14:textId="2AE43F45" w:rsidR="00E36EC7" w:rsidRPr="00656794" w:rsidRDefault="00E36EC7" w:rsidP="00E36EC7">
            <w:pPr>
              <w:spacing w:after="0" w:line="240" w:lineRule="auto"/>
              <w:ind w:left="134"/>
              <w:rPr>
                <w:rFonts w:ascii="Arial" w:eastAsia="Times New Roman" w:hAnsi="Arial" w:cs="Arial"/>
                <w:sz w:val="18"/>
                <w:szCs w:val="18"/>
                <w:lang w:val="it-IT" w:eastAsia="en-IE"/>
              </w:rPr>
            </w:pPr>
            <w:r w:rsidRPr="00656794">
              <w:rPr>
                <w:rFonts w:ascii="Arial" w:hAnsi="Arial" w:cs="Arial"/>
                <w:sz w:val="18"/>
                <w:szCs w:val="18"/>
                <w:lang w:val="it-IT"/>
              </w:rPr>
              <w:t>Obbligazioni in portafoglio internazionale</w:t>
            </w:r>
          </w:p>
        </w:tc>
      </w:tr>
      <w:tr w:rsidR="00E36EC7" w:rsidRPr="00867942" w14:paraId="3C325B2B"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115BE" w14:textId="77777777" w:rsidR="00E36EC7" w:rsidRPr="00656794" w:rsidRDefault="00E36EC7" w:rsidP="00E36EC7">
            <w:pPr>
              <w:spacing w:after="0" w:line="240" w:lineRule="auto"/>
              <w:ind w:left="134"/>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IVASS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BDEE2" w14:textId="1121A33D" w:rsidR="00E36EC7" w:rsidRPr="00656794" w:rsidRDefault="00E36EC7" w:rsidP="00E36EC7">
            <w:pPr>
              <w:spacing w:after="0" w:line="240" w:lineRule="auto"/>
              <w:ind w:left="134"/>
              <w:rPr>
                <w:rFonts w:ascii="Arial" w:eastAsia="Times New Roman" w:hAnsi="Arial" w:cs="Arial"/>
                <w:sz w:val="18"/>
                <w:szCs w:val="18"/>
                <w:lang w:val="it-IT" w:eastAsia="en-IE"/>
              </w:rPr>
            </w:pPr>
            <w:r w:rsidRPr="00656794">
              <w:rPr>
                <w:rFonts w:ascii="Arial" w:hAnsi="Arial" w:cs="Arial"/>
                <w:sz w:val="18"/>
                <w:szCs w:val="18"/>
                <w:lang w:val="it-IT"/>
              </w:rPr>
              <w:t>Istituto per la Vigilanza sulle Assicurazioni</w:t>
            </w:r>
          </w:p>
        </w:tc>
      </w:tr>
      <w:tr w:rsidR="00E36EC7" w:rsidRPr="00656794" w14:paraId="1C28C1CF"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05D01" w14:textId="77777777" w:rsidR="00E36EC7" w:rsidRPr="00656794" w:rsidRDefault="00E36EC7" w:rsidP="00E36EC7">
            <w:pPr>
              <w:spacing w:after="0" w:line="240" w:lineRule="auto"/>
              <w:ind w:left="122"/>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JEM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CEE25" w14:textId="1482231E" w:rsidR="00E36EC7" w:rsidRPr="00656794" w:rsidRDefault="00E36EC7" w:rsidP="00E36EC7">
            <w:pPr>
              <w:spacing w:after="0" w:line="240" w:lineRule="auto"/>
              <w:ind w:left="122"/>
              <w:rPr>
                <w:rFonts w:ascii="Arial" w:eastAsia="Times New Roman" w:hAnsi="Arial" w:cs="Arial"/>
                <w:sz w:val="18"/>
                <w:szCs w:val="18"/>
                <w:lang w:val="it-IT" w:eastAsia="en-IE"/>
              </w:rPr>
            </w:pPr>
            <w:r w:rsidRPr="00656794">
              <w:rPr>
                <w:rFonts w:ascii="Arial" w:hAnsi="Arial" w:cs="Arial"/>
                <w:sz w:val="18"/>
                <w:szCs w:val="18"/>
                <w:lang w:val="it-IT"/>
              </w:rPr>
              <w:t>Riunione Esecutiva Congiunta</w:t>
            </w:r>
          </w:p>
        </w:tc>
      </w:tr>
      <w:tr w:rsidR="00E36EC7" w:rsidRPr="00656794" w14:paraId="09473F12"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FD6CC" w14:textId="77777777" w:rsidR="00E36EC7" w:rsidRPr="00656794" w:rsidRDefault="00E36EC7" w:rsidP="00E36EC7">
            <w:pPr>
              <w:spacing w:after="0" w:line="240" w:lineRule="auto"/>
              <w:ind w:left="131"/>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MCR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03D95" w14:textId="47AB667B" w:rsidR="00E36EC7" w:rsidRPr="00656794" w:rsidRDefault="00E36EC7" w:rsidP="00E36EC7">
            <w:pPr>
              <w:spacing w:after="0" w:line="240" w:lineRule="auto"/>
              <w:ind w:left="131"/>
              <w:rPr>
                <w:rFonts w:ascii="Arial" w:eastAsia="Times New Roman" w:hAnsi="Arial" w:cs="Arial"/>
                <w:sz w:val="18"/>
                <w:szCs w:val="18"/>
                <w:lang w:val="it-IT" w:eastAsia="en-IE"/>
              </w:rPr>
            </w:pPr>
            <w:r w:rsidRPr="00656794">
              <w:rPr>
                <w:rFonts w:ascii="Arial" w:hAnsi="Arial" w:cs="Arial"/>
                <w:sz w:val="18"/>
                <w:szCs w:val="18"/>
                <w:lang w:val="it-IT"/>
              </w:rPr>
              <w:t>Requisito di capitale minimo</w:t>
            </w:r>
          </w:p>
        </w:tc>
      </w:tr>
      <w:tr w:rsidR="00E36EC7" w:rsidRPr="00867942" w14:paraId="72D3BDC2"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B4306" w14:textId="77777777" w:rsidR="00E36EC7" w:rsidRPr="00656794" w:rsidRDefault="00E36EC7" w:rsidP="00E36EC7">
            <w:pPr>
              <w:spacing w:after="0" w:line="240" w:lineRule="auto"/>
              <w:ind w:left="126"/>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ORSA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6FA79" w14:textId="02827634" w:rsidR="00E36EC7" w:rsidRPr="00656794" w:rsidRDefault="00E36EC7" w:rsidP="00E36EC7">
            <w:pPr>
              <w:spacing w:after="0" w:line="240" w:lineRule="auto"/>
              <w:ind w:left="126"/>
              <w:rPr>
                <w:rFonts w:ascii="Arial" w:eastAsia="Times New Roman" w:hAnsi="Arial" w:cs="Arial"/>
                <w:sz w:val="18"/>
                <w:szCs w:val="18"/>
                <w:lang w:val="it-IT" w:eastAsia="en-IE"/>
              </w:rPr>
            </w:pPr>
            <w:r w:rsidRPr="00656794">
              <w:rPr>
                <w:rFonts w:ascii="Arial" w:hAnsi="Arial" w:cs="Arial"/>
                <w:sz w:val="18"/>
                <w:szCs w:val="18"/>
                <w:lang w:val="it-IT"/>
              </w:rPr>
              <w:t>Rischio proprio e valutazione della solvibilità</w:t>
            </w:r>
          </w:p>
        </w:tc>
      </w:tr>
      <w:tr w:rsidR="00E36EC7" w:rsidRPr="00867942" w14:paraId="7A709530"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3B875" w14:textId="77777777" w:rsidR="00E36EC7" w:rsidRPr="00656794" w:rsidRDefault="00E36EC7" w:rsidP="00E36EC7">
            <w:pPr>
              <w:spacing w:after="0" w:line="240" w:lineRule="auto"/>
              <w:ind w:left="131"/>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PCF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83972" w14:textId="4EB9603D" w:rsidR="00E36EC7" w:rsidRPr="00656794" w:rsidRDefault="00E36EC7" w:rsidP="00E36EC7">
            <w:pPr>
              <w:spacing w:after="0" w:line="240" w:lineRule="auto"/>
              <w:ind w:left="131"/>
              <w:rPr>
                <w:rFonts w:ascii="Arial" w:eastAsia="Times New Roman" w:hAnsi="Arial" w:cs="Arial"/>
                <w:sz w:val="18"/>
                <w:szCs w:val="18"/>
                <w:lang w:val="it-IT" w:eastAsia="en-IE"/>
              </w:rPr>
            </w:pPr>
            <w:r w:rsidRPr="00656794">
              <w:rPr>
                <w:rFonts w:ascii="Arial" w:hAnsi="Arial" w:cs="Arial"/>
                <w:sz w:val="18"/>
                <w:szCs w:val="18"/>
                <w:lang w:val="it-IT"/>
              </w:rPr>
              <w:t>Funzione controllata di pre-approvazione</w:t>
            </w:r>
          </w:p>
        </w:tc>
      </w:tr>
      <w:tr w:rsidR="00E36EC7" w:rsidRPr="00867942" w14:paraId="115E1FFD"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85D47" w14:textId="77777777" w:rsidR="00E36EC7" w:rsidRPr="00656794" w:rsidRDefault="00E36EC7" w:rsidP="00E36EC7">
            <w:pPr>
              <w:spacing w:after="0" w:line="240" w:lineRule="auto"/>
              <w:ind w:left="131"/>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PRSA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F5CF6" w14:textId="0097DE46" w:rsidR="00E36EC7" w:rsidRPr="00656794" w:rsidRDefault="00E36EC7" w:rsidP="00E36EC7">
            <w:pPr>
              <w:spacing w:after="0" w:line="240" w:lineRule="auto"/>
              <w:ind w:left="131"/>
              <w:rPr>
                <w:rFonts w:ascii="Arial" w:eastAsia="Times New Roman" w:hAnsi="Arial" w:cs="Arial"/>
                <w:sz w:val="18"/>
                <w:szCs w:val="18"/>
                <w:lang w:val="it-IT" w:eastAsia="en-IE"/>
              </w:rPr>
            </w:pPr>
            <w:r w:rsidRPr="00656794">
              <w:rPr>
                <w:rFonts w:ascii="Arial" w:hAnsi="Arial" w:cs="Arial"/>
                <w:sz w:val="18"/>
                <w:szCs w:val="18"/>
                <w:lang w:val="it-IT"/>
              </w:rPr>
              <w:t>Conto di risparmio previdenziale personale</w:t>
            </w:r>
          </w:p>
        </w:tc>
      </w:tr>
      <w:tr w:rsidR="00E36EC7" w:rsidRPr="00656794" w14:paraId="2B62DAEB"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DDF7C" w14:textId="77777777" w:rsidR="00E36EC7" w:rsidRPr="00656794" w:rsidRDefault="00E36EC7" w:rsidP="00E36EC7">
            <w:pPr>
              <w:spacing w:after="0" w:line="240" w:lineRule="auto"/>
              <w:ind w:left="131"/>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PRE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38930" w14:textId="74E9C6E4" w:rsidR="00E36EC7" w:rsidRPr="00656794" w:rsidRDefault="00E36EC7" w:rsidP="00E36EC7">
            <w:pPr>
              <w:spacing w:after="0" w:line="240" w:lineRule="auto"/>
              <w:ind w:left="131"/>
              <w:rPr>
                <w:rFonts w:ascii="Arial" w:eastAsia="Times New Roman" w:hAnsi="Arial" w:cs="Arial"/>
                <w:sz w:val="18"/>
                <w:szCs w:val="18"/>
                <w:lang w:val="it-IT" w:eastAsia="en-IE"/>
              </w:rPr>
            </w:pPr>
            <w:r w:rsidRPr="00656794">
              <w:rPr>
                <w:rFonts w:ascii="Arial" w:hAnsi="Arial" w:cs="Arial"/>
                <w:sz w:val="18"/>
                <w:szCs w:val="18"/>
                <w:lang w:val="it-IT"/>
              </w:rPr>
              <w:t xml:space="preserve">Aspettative ragionevoli </w:t>
            </w:r>
            <w:r w:rsidR="00236DFA">
              <w:rPr>
                <w:rFonts w:ascii="Arial" w:hAnsi="Arial" w:cs="Arial"/>
                <w:sz w:val="18"/>
                <w:szCs w:val="18"/>
                <w:lang w:val="it-IT"/>
              </w:rPr>
              <w:t>dei</w:t>
            </w:r>
            <w:r w:rsidR="00236DFA" w:rsidRPr="00656794">
              <w:rPr>
                <w:rFonts w:ascii="Arial" w:hAnsi="Arial" w:cs="Arial"/>
                <w:sz w:val="18"/>
                <w:szCs w:val="18"/>
                <w:lang w:val="it-IT"/>
              </w:rPr>
              <w:t xml:space="preserve"> </w:t>
            </w:r>
            <w:r w:rsidR="00DC30A5">
              <w:rPr>
                <w:rFonts w:ascii="Arial" w:hAnsi="Arial" w:cs="Arial"/>
                <w:sz w:val="18"/>
                <w:szCs w:val="18"/>
                <w:lang w:val="it-IT"/>
              </w:rPr>
              <w:t>contraenti</w:t>
            </w:r>
          </w:p>
        </w:tc>
      </w:tr>
      <w:tr w:rsidR="00E36EC7" w:rsidRPr="00656794" w14:paraId="34AC41C8"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5331B" w14:textId="77777777" w:rsidR="00E36EC7" w:rsidRPr="00656794" w:rsidRDefault="00E36EC7" w:rsidP="00E36EC7">
            <w:pPr>
              <w:spacing w:after="0" w:line="240" w:lineRule="auto"/>
              <w:ind w:left="125"/>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QRT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63C18" w14:textId="7EB2F2FC" w:rsidR="00E36EC7" w:rsidRPr="00656794" w:rsidRDefault="00E36EC7" w:rsidP="00E36EC7">
            <w:pPr>
              <w:spacing w:after="0" w:line="240" w:lineRule="auto"/>
              <w:ind w:left="125"/>
              <w:rPr>
                <w:rFonts w:ascii="Arial" w:eastAsia="Times New Roman" w:hAnsi="Arial" w:cs="Arial"/>
                <w:sz w:val="18"/>
                <w:szCs w:val="18"/>
                <w:lang w:val="it-IT" w:eastAsia="en-IE"/>
              </w:rPr>
            </w:pPr>
            <w:r w:rsidRPr="00656794">
              <w:rPr>
                <w:rFonts w:ascii="Arial" w:hAnsi="Arial" w:cs="Arial"/>
                <w:sz w:val="18"/>
                <w:szCs w:val="18"/>
                <w:lang w:val="it-IT"/>
              </w:rPr>
              <w:t>Modello di rendicontazione quantitativa</w:t>
            </w:r>
          </w:p>
        </w:tc>
      </w:tr>
      <w:tr w:rsidR="00E36EC7" w:rsidRPr="00867942" w14:paraId="4018A51D"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4600F" w14:textId="77777777" w:rsidR="00E36EC7" w:rsidRPr="00656794" w:rsidRDefault="00E36EC7" w:rsidP="00E36EC7">
            <w:pPr>
              <w:spacing w:after="0" w:line="240" w:lineRule="auto"/>
              <w:ind w:left="132"/>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RACC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60773" w14:textId="2C31DF6D" w:rsidR="00E36EC7" w:rsidRPr="00656794" w:rsidRDefault="00E36EC7" w:rsidP="00E36EC7">
            <w:pPr>
              <w:spacing w:after="0" w:line="240" w:lineRule="auto"/>
              <w:ind w:left="132"/>
              <w:rPr>
                <w:rFonts w:ascii="Arial" w:eastAsia="Times New Roman" w:hAnsi="Arial" w:cs="Arial"/>
                <w:sz w:val="18"/>
                <w:szCs w:val="18"/>
                <w:lang w:val="it-IT" w:eastAsia="en-IE"/>
              </w:rPr>
            </w:pPr>
            <w:r w:rsidRPr="00656794">
              <w:rPr>
                <w:rFonts w:ascii="Arial" w:hAnsi="Arial" w:cs="Arial"/>
                <w:sz w:val="18"/>
                <w:szCs w:val="18"/>
                <w:lang w:val="it-IT"/>
              </w:rPr>
              <w:t>Comitato Rischi, Audit e Controllo</w:t>
            </w:r>
          </w:p>
        </w:tc>
      </w:tr>
      <w:tr w:rsidR="00E36EC7" w:rsidRPr="00656794" w14:paraId="64409ADA"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31750" w14:textId="77777777" w:rsidR="00E36EC7" w:rsidRPr="00656794" w:rsidRDefault="00E36EC7" w:rsidP="00E36EC7">
            <w:pPr>
              <w:spacing w:after="0" w:line="240" w:lineRule="auto"/>
              <w:ind w:left="132"/>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RSR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2205F" w14:textId="2F6E6502" w:rsidR="00E36EC7" w:rsidRPr="00656794" w:rsidRDefault="00E36EC7" w:rsidP="00E36EC7">
            <w:pPr>
              <w:spacing w:after="0" w:line="240" w:lineRule="auto"/>
              <w:ind w:left="132"/>
              <w:rPr>
                <w:rFonts w:ascii="Arial" w:eastAsia="Times New Roman" w:hAnsi="Arial" w:cs="Arial"/>
                <w:sz w:val="18"/>
                <w:szCs w:val="18"/>
                <w:lang w:val="it-IT" w:eastAsia="en-IE"/>
              </w:rPr>
            </w:pPr>
            <w:r w:rsidRPr="00656794">
              <w:rPr>
                <w:rFonts w:ascii="Arial" w:hAnsi="Arial" w:cs="Arial"/>
                <w:sz w:val="18"/>
                <w:szCs w:val="18"/>
                <w:lang w:val="it-IT"/>
              </w:rPr>
              <w:t>Rapporto di vigilanza regolare</w:t>
            </w:r>
          </w:p>
        </w:tc>
      </w:tr>
      <w:tr w:rsidR="00E36EC7" w:rsidRPr="00656794" w14:paraId="23AE20F2"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17BD5" w14:textId="77777777" w:rsidR="00E36EC7" w:rsidRPr="00656794" w:rsidRDefault="00E36EC7" w:rsidP="00E36EC7">
            <w:pPr>
              <w:spacing w:after="0" w:line="240" w:lineRule="auto"/>
              <w:ind w:left="126"/>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S.I.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85DAB" w14:textId="791126C5" w:rsidR="00E36EC7" w:rsidRPr="00656794" w:rsidRDefault="00E36EC7" w:rsidP="00E36EC7">
            <w:pPr>
              <w:spacing w:after="0" w:line="240" w:lineRule="auto"/>
              <w:ind w:left="126"/>
              <w:rPr>
                <w:rFonts w:ascii="Arial" w:eastAsia="Times New Roman" w:hAnsi="Arial" w:cs="Arial"/>
                <w:sz w:val="18"/>
                <w:szCs w:val="18"/>
                <w:lang w:val="it-IT" w:eastAsia="en-IE"/>
              </w:rPr>
            </w:pPr>
            <w:r w:rsidRPr="00656794">
              <w:rPr>
                <w:rFonts w:ascii="Arial" w:hAnsi="Arial" w:cs="Arial"/>
                <w:sz w:val="18"/>
                <w:szCs w:val="18"/>
                <w:lang w:val="it-IT"/>
              </w:rPr>
              <w:t>Strumento statutario</w:t>
            </w:r>
          </w:p>
        </w:tc>
      </w:tr>
      <w:tr w:rsidR="00E36EC7" w:rsidRPr="00867942" w14:paraId="0C507E5A"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2A3C0" w14:textId="77777777" w:rsidR="00E36EC7" w:rsidRPr="00656794" w:rsidRDefault="00E36EC7" w:rsidP="00E36EC7">
            <w:pPr>
              <w:spacing w:after="0" w:line="240" w:lineRule="auto"/>
              <w:ind w:left="126"/>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SAI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0F3AA" w14:textId="5B66984F" w:rsidR="00E36EC7" w:rsidRPr="00656794" w:rsidRDefault="00E36EC7" w:rsidP="00E36EC7">
            <w:pPr>
              <w:spacing w:after="0" w:line="240" w:lineRule="auto"/>
              <w:ind w:left="126"/>
              <w:rPr>
                <w:rFonts w:ascii="Arial" w:eastAsia="Times New Roman" w:hAnsi="Arial" w:cs="Arial"/>
                <w:sz w:val="18"/>
                <w:szCs w:val="18"/>
                <w:lang w:val="it-IT" w:eastAsia="en-IE"/>
              </w:rPr>
            </w:pPr>
            <w:r w:rsidRPr="00656794">
              <w:rPr>
                <w:rFonts w:ascii="Arial" w:hAnsi="Arial" w:cs="Arial"/>
                <w:sz w:val="18"/>
                <w:szCs w:val="18"/>
                <w:lang w:val="it-IT"/>
              </w:rPr>
              <w:t>Società degli attuari in Irlanda</w:t>
            </w:r>
          </w:p>
        </w:tc>
      </w:tr>
      <w:tr w:rsidR="00E36EC7" w:rsidRPr="00656794" w14:paraId="4940AC25" w14:textId="77777777" w:rsidTr="00215CE9">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C0203" w14:textId="77777777" w:rsidR="00E36EC7" w:rsidRPr="00656794" w:rsidRDefault="00E36EC7" w:rsidP="00E36EC7">
            <w:pPr>
              <w:spacing w:after="0" w:line="240" w:lineRule="auto"/>
              <w:ind w:left="126"/>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SCR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5F338" w14:textId="08BC53C3" w:rsidR="00E36EC7" w:rsidRPr="00656794" w:rsidRDefault="00E36EC7" w:rsidP="00E36EC7">
            <w:pPr>
              <w:spacing w:after="0" w:line="240" w:lineRule="auto"/>
              <w:ind w:left="126"/>
              <w:rPr>
                <w:rFonts w:ascii="Arial" w:eastAsia="Times New Roman" w:hAnsi="Arial" w:cs="Arial"/>
                <w:sz w:val="18"/>
                <w:szCs w:val="18"/>
                <w:lang w:val="it-IT" w:eastAsia="en-IE"/>
              </w:rPr>
            </w:pPr>
            <w:r w:rsidRPr="00656794">
              <w:rPr>
                <w:rFonts w:ascii="Arial" w:hAnsi="Arial" w:cs="Arial"/>
                <w:sz w:val="18"/>
                <w:szCs w:val="18"/>
                <w:lang w:val="it-IT"/>
              </w:rPr>
              <w:t>Requisito patrimoniale di solvibilità</w:t>
            </w:r>
          </w:p>
        </w:tc>
      </w:tr>
      <w:tr w:rsidR="00E36EC7" w:rsidRPr="00867942" w14:paraId="4782E0D9" w14:textId="77777777" w:rsidTr="00215CE9">
        <w:trPr>
          <w:trHeight w:val="3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8EA92" w14:textId="77777777" w:rsidR="00E36EC7" w:rsidRPr="00656794" w:rsidRDefault="00E36EC7" w:rsidP="00E36EC7">
            <w:pPr>
              <w:spacing w:after="0" w:line="240" w:lineRule="auto"/>
              <w:ind w:left="126"/>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SFCR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BC8CB" w14:textId="067125BA" w:rsidR="00E36EC7" w:rsidRPr="00656794" w:rsidRDefault="00E36EC7" w:rsidP="00E36EC7">
            <w:pPr>
              <w:spacing w:after="0" w:line="240" w:lineRule="auto"/>
              <w:ind w:left="126"/>
              <w:rPr>
                <w:rFonts w:ascii="Arial" w:eastAsia="Times New Roman" w:hAnsi="Arial" w:cs="Arial"/>
                <w:sz w:val="18"/>
                <w:szCs w:val="18"/>
                <w:lang w:val="it-IT" w:eastAsia="en-IE"/>
              </w:rPr>
            </w:pPr>
            <w:r w:rsidRPr="00656794">
              <w:rPr>
                <w:rFonts w:ascii="Arial" w:hAnsi="Arial" w:cs="Arial"/>
                <w:sz w:val="18"/>
                <w:szCs w:val="18"/>
                <w:lang w:val="it-IT"/>
              </w:rPr>
              <w:t>Rapporto sulla solvibilità e sulle condizioni finanziarie</w:t>
            </w:r>
          </w:p>
        </w:tc>
      </w:tr>
      <w:tr w:rsidR="00E36EC7" w:rsidRPr="00656794" w14:paraId="2F4DCD10" w14:textId="77777777" w:rsidTr="00215CE9">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8BB27" w14:textId="77777777" w:rsidR="00E36EC7" w:rsidRPr="00656794" w:rsidRDefault="00E36EC7" w:rsidP="00E36EC7">
            <w:pPr>
              <w:spacing w:after="0" w:line="240" w:lineRule="auto"/>
              <w:ind w:left="126"/>
              <w:rPr>
                <w:rFonts w:ascii="Times New Roman" w:eastAsia="Times New Roman" w:hAnsi="Times New Roman" w:cs="Times New Roman"/>
                <w:sz w:val="24"/>
                <w:szCs w:val="24"/>
                <w:lang w:val="it-IT" w:eastAsia="en-IE"/>
              </w:rPr>
            </w:pPr>
            <w:r w:rsidRPr="00656794">
              <w:rPr>
                <w:rFonts w:ascii="Arial" w:eastAsia="Times New Roman" w:hAnsi="Arial" w:cs="Arial"/>
                <w:color w:val="000000"/>
                <w:sz w:val="18"/>
                <w:szCs w:val="18"/>
                <w:shd w:val="clear" w:color="auto" w:fill="FFFFFF"/>
                <w:lang w:val="it-IT" w:eastAsia="en-IE"/>
              </w:rPr>
              <w:t>Solvency II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0843D" w14:textId="42DE4673" w:rsidR="00E36EC7" w:rsidRPr="00656794" w:rsidRDefault="00E36EC7" w:rsidP="00E36EC7">
            <w:pPr>
              <w:spacing w:after="0" w:line="240" w:lineRule="auto"/>
              <w:ind w:left="132" w:right="193"/>
              <w:rPr>
                <w:rFonts w:ascii="Arial" w:eastAsia="Times New Roman" w:hAnsi="Arial" w:cs="Arial"/>
                <w:sz w:val="18"/>
                <w:szCs w:val="18"/>
                <w:lang w:val="it-IT" w:eastAsia="en-IE"/>
              </w:rPr>
            </w:pPr>
            <w:r w:rsidRPr="00656794">
              <w:rPr>
                <w:rFonts w:ascii="Arial" w:hAnsi="Arial" w:cs="Arial"/>
                <w:sz w:val="18"/>
                <w:szCs w:val="18"/>
                <w:lang w:val="it-IT"/>
              </w:rPr>
              <w:t>Direttiva europea sull</w:t>
            </w:r>
            <w:r w:rsidR="00F23A40" w:rsidRPr="00656794">
              <w:rPr>
                <w:rFonts w:ascii="Arial" w:hAnsi="Arial" w:cs="Arial"/>
                <w:sz w:val="18"/>
                <w:szCs w:val="18"/>
                <w:lang w:val="it-IT"/>
              </w:rPr>
              <w:t>’</w:t>
            </w:r>
            <w:r w:rsidRPr="00656794">
              <w:rPr>
                <w:rFonts w:ascii="Arial" w:hAnsi="Arial" w:cs="Arial"/>
                <w:sz w:val="18"/>
                <w:szCs w:val="18"/>
                <w:lang w:val="it-IT"/>
              </w:rPr>
              <w:t>assicurazione basata sul rischio che codifica e armonizza la regolamentazione assicurativa dell</w:t>
            </w:r>
            <w:r w:rsidR="00F23A40" w:rsidRPr="00656794">
              <w:rPr>
                <w:rFonts w:ascii="Arial" w:hAnsi="Arial" w:cs="Arial"/>
                <w:sz w:val="18"/>
                <w:szCs w:val="18"/>
                <w:lang w:val="it-IT"/>
              </w:rPr>
              <w:t>’</w:t>
            </w:r>
            <w:r w:rsidRPr="00656794">
              <w:rPr>
                <w:rFonts w:ascii="Arial" w:hAnsi="Arial" w:cs="Arial"/>
                <w:sz w:val="18"/>
                <w:szCs w:val="18"/>
                <w:lang w:val="it-IT"/>
              </w:rPr>
              <w:t>UE. Discusso ulteriormente nell</w:t>
            </w:r>
            <w:r w:rsidR="00F23A40" w:rsidRPr="00656794">
              <w:rPr>
                <w:rFonts w:ascii="Arial" w:hAnsi="Arial" w:cs="Arial"/>
                <w:sz w:val="18"/>
                <w:szCs w:val="18"/>
                <w:lang w:val="it-IT"/>
              </w:rPr>
              <w:t>’</w:t>
            </w:r>
            <w:r w:rsidRPr="00656794">
              <w:rPr>
                <w:rFonts w:ascii="Arial" w:hAnsi="Arial" w:cs="Arial"/>
                <w:sz w:val="18"/>
                <w:szCs w:val="18"/>
                <w:lang w:val="it-IT"/>
              </w:rPr>
              <w:t>Appendice 5.</w:t>
            </w:r>
          </w:p>
        </w:tc>
      </w:tr>
      <w:tr w:rsidR="00E36EC7" w:rsidRPr="00656794" w14:paraId="1C7FBC3B" w14:textId="77777777" w:rsidTr="00215CE9">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A43F1" w14:textId="355F7046" w:rsidR="00E36EC7" w:rsidRPr="00656794" w:rsidRDefault="00E36EC7" w:rsidP="00E36EC7">
            <w:pPr>
              <w:spacing w:after="0" w:line="240" w:lineRule="auto"/>
              <w:ind w:left="126"/>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TRP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D248C" w14:textId="66B489CE" w:rsidR="00E36EC7" w:rsidRPr="00656794" w:rsidRDefault="00E36EC7" w:rsidP="00E36EC7">
            <w:pPr>
              <w:spacing w:after="0" w:line="240" w:lineRule="auto"/>
              <w:ind w:left="132" w:right="193"/>
              <w:rPr>
                <w:rFonts w:ascii="Arial" w:eastAsia="Times New Roman" w:hAnsi="Arial" w:cs="Arial"/>
                <w:color w:val="000000"/>
                <w:sz w:val="18"/>
                <w:szCs w:val="18"/>
                <w:shd w:val="clear" w:color="auto" w:fill="FFFFFF"/>
                <w:lang w:val="it-IT" w:eastAsia="en-IE"/>
              </w:rPr>
            </w:pPr>
            <w:r w:rsidRPr="00656794">
              <w:rPr>
                <w:rFonts w:ascii="Arial" w:hAnsi="Arial" w:cs="Arial"/>
                <w:sz w:val="18"/>
                <w:szCs w:val="18"/>
                <w:lang w:val="it-IT"/>
              </w:rPr>
              <w:t>Profilo del rischio totale</w:t>
            </w:r>
          </w:p>
        </w:tc>
      </w:tr>
      <w:tr w:rsidR="00E36EC7" w:rsidRPr="00656794" w14:paraId="4AAE0F72" w14:textId="77777777" w:rsidTr="00215CE9">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ED2EE" w14:textId="04593BDC" w:rsidR="00E36EC7" w:rsidRPr="00656794" w:rsidRDefault="00E36EC7" w:rsidP="00E36EC7">
            <w:pPr>
              <w:spacing w:after="0" w:line="240" w:lineRule="auto"/>
              <w:ind w:left="126"/>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UK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ECF92" w14:textId="6E14C505" w:rsidR="00E36EC7" w:rsidRPr="00656794" w:rsidRDefault="00E36EC7" w:rsidP="00E36EC7">
            <w:pPr>
              <w:spacing w:after="0" w:line="240" w:lineRule="auto"/>
              <w:ind w:left="132" w:right="193"/>
              <w:rPr>
                <w:rFonts w:ascii="Arial" w:eastAsia="Times New Roman" w:hAnsi="Arial" w:cs="Arial"/>
                <w:color w:val="000000"/>
                <w:sz w:val="18"/>
                <w:szCs w:val="18"/>
                <w:shd w:val="clear" w:color="auto" w:fill="FFFFFF"/>
                <w:lang w:val="it-IT" w:eastAsia="en-IE"/>
              </w:rPr>
            </w:pPr>
            <w:r w:rsidRPr="00656794">
              <w:rPr>
                <w:rFonts w:ascii="Arial" w:hAnsi="Arial" w:cs="Arial"/>
                <w:sz w:val="18"/>
                <w:szCs w:val="18"/>
                <w:lang w:val="it-IT"/>
              </w:rPr>
              <w:t>Regno Unito</w:t>
            </w:r>
          </w:p>
        </w:tc>
      </w:tr>
      <w:tr w:rsidR="00E36EC7" w:rsidRPr="00656794" w14:paraId="5806D390" w14:textId="77777777" w:rsidTr="00215CE9">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A2BC5F" w14:textId="6E5A0EB5" w:rsidR="00E36EC7" w:rsidRPr="00656794" w:rsidRDefault="00E36EC7" w:rsidP="00E36EC7">
            <w:pPr>
              <w:spacing w:after="0" w:line="240" w:lineRule="auto"/>
              <w:ind w:left="126"/>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YE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14953" w14:textId="1EB2097A" w:rsidR="00E36EC7" w:rsidRPr="00656794" w:rsidRDefault="00E36EC7" w:rsidP="00E36EC7">
            <w:pPr>
              <w:spacing w:after="0" w:line="240" w:lineRule="auto"/>
              <w:ind w:left="132" w:right="193"/>
              <w:rPr>
                <w:rFonts w:ascii="Arial" w:eastAsia="Times New Roman" w:hAnsi="Arial" w:cs="Arial"/>
                <w:color w:val="000000"/>
                <w:sz w:val="18"/>
                <w:szCs w:val="18"/>
                <w:shd w:val="clear" w:color="auto" w:fill="FFFFFF"/>
                <w:lang w:val="it-IT" w:eastAsia="en-IE"/>
              </w:rPr>
            </w:pPr>
            <w:r w:rsidRPr="00656794">
              <w:rPr>
                <w:rFonts w:ascii="Arial" w:hAnsi="Arial" w:cs="Arial"/>
                <w:sz w:val="18"/>
                <w:szCs w:val="18"/>
                <w:lang w:val="it-IT"/>
              </w:rPr>
              <w:t>Fine anno</w:t>
            </w:r>
          </w:p>
        </w:tc>
      </w:tr>
      <w:tr w:rsidR="00CB497D" w:rsidRPr="00867942" w14:paraId="44E530A2" w14:textId="77777777" w:rsidTr="00215CE9">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74857" w14:textId="0FF320E8" w:rsidR="00CB497D" w:rsidRPr="00656794" w:rsidRDefault="00CB497D" w:rsidP="00CB497D">
            <w:pPr>
              <w:spacing w:after="0" w:line="240" w:lineRule="auto"/>
              <w:ind w:left="126"/>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ZIC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EF2CC" w14:textId="462EA0ED" w:rsidR="00CB497D" w:rsidRPr="00B470FF" w:rsidRDefault="00CB497D" w:rsidP="00CB497D">
            <w:pPr>
              <w:spacing w:after="0" w:line="240" w:lineRule="auto"/>
              <w:ind w:left="132" w:right="193"/>
              <w:rPr>
                <w:rFonts w:ascii="Arial" w:eastAsia="Times New Roman" w:hAnsi="Arial" w:cs="Arial"/>
                <w:color w:val="000000"/>
                <w:sz w:val="18"/>
                <w:szCs w:val="18"/>
                <w:shd w:val="clear" w:color="auto" w:fill="FFFFFF"/>
                <w:lang w:val="it-IT" w:eastAsia="en-IE"/>
              </w:rPr>
            </w:pPr>
            <w:r w:rsidRPr="00B470FF">
              <w:rPr>
                <w:rFonts w:ascii="Arial" w:eastAsia="Times New Roman" w:hAnsi="Arial" w:cs="Arial"/>
                <w:color w:val="000000"/>
                <w:sz w:val="18"/>
                <w:szCs w:val="18"/>
                <w:shd w:val="clear" w:color="auto" w:fill="FFFFFF"/>
                <w:lang w:val="it-IT" w:eastAsia="en-IE"/>
              </w:rPr>
              <w:t>Zurich Insurance Company (</w:t>
            </w:r>
            <w:r w:rsidR="00425FA7" w:rsidRPr="00110CD2">
              <w:rPr>
                <w:rFonts w:ascii="Arial" w:eastAsia="Times New Roman" w:hAnsi="Arial" w:cs="Arial"/>
                <w:color w:val="000000"/>
                <w:sz w:val="18"/>
                <w:szCs w:val="18"/>
                <w:shd w:val="clear" w:color="auto" w:fill="FFFFFF"/>
                <w:lang w:val="it-IT" w:eastAsia="en-IE"/>
              </w:rPr>
              <w:t>Società</w:t>
            </w:r>
            <w:r w:rsidR="00425FA7" w:rsidRPr="00425FA7">
              <w:rPr>
                <w:rFonts w:ascii="Arial" w:eastAsia="Times New Roman" w:hAnsi="Arial" w:cs="Arial"/>
                <w:color w:val="000000"/>
                <w:sz w:val="18"/>
                <w:szCs w:val="18"/>
                <w:shd w:val="clear" w:color="auto" w:fill="FFFFFF"/>
                <w:lang w:val="it-IT" w:eastAsia="en-IE"/>
              </w:rPr>
              <w:t xml:space="preserve"> Madre</w:t>
            </w:r>
            <w:r w:rsidRPr="00110CD2">
              <w:rPr>
                <w:rFonts w:ascii="Arial" w:eastAsia="Times New Roman" w:hAnsi="Arial" w:cs="Arial"/>
                <w:color w:val="000000"/>
                <w:sz w:val="18"/>
                <w:szCs w:val="18"/>
                <w:shd w:val="clear" w:color="auto" w:fill="FFFFFF"/>
                <w:lang w:val="it-IT" w:eastAsia="en-IE"/>
              </w:rPr>
              <w:t>)</w:t>
            </w:r>
          </w:p>
        </w:tc>
      </w:tr>
      <w:tr w:rsidR="00CB497D" w:rsidRPr="00656794" w14:paraId="2EB1CAA7" w14:textId="77777777" w:rsidTr="00215CE9">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351B1" w14:textId="7D420E2A" w:rsidR="00CB497D" w:rsidRPr="00656794" w:rsidRDefault="00CB497D" w:rsidP="00CB497D">
            <w:pPr>
              <w:spacing w:after="0" w:line="240" w:lineRule="auto"/>
              <w:ind w:left="126"/>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ZIL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1BD8E" w14:textId="317AEF66" w:rsidR="00CB497D" w:rsidRPr="00CB4C9C" w:rsidRDefault="00CB497D" w:rsidP="00CB497D">
            <w:pPr>
              <w:spacing w:after="0" w:line="240" w:lineRule="auto"/>
              <w:ind w:left="132" w:right="193"/>
              <w:rPr>
                <w:rFonts w:ascii="Arial" w:eastAsia="Times New Roman" w:hAnsi="Arial" w:cs="Arial"/>
                <w:color w:val="000000"/>
                <w:sz w:val="18"/>
                <w:szCs w:val="18"/>
                <w:shd w:val="clear" w:color="auto" w:fill="FFFFFF"/>
                <w:lang w:eastAsia="en-IE"/>
              </w:rPr>
            </w:pPr>
            <w:r w:rsidRPr="00CB4C9C">
              <w:rPr>
                <w:rFonts w:ascii="Arial" w:eastAsia="Times New Roman" w:hAnsi="Arial" w:cs="Arial"/>
                <w:color w:val="000000"/>
                <w:sz w:val="18"/>
                <w:szCs w:val="18"/>
                <w:shd w:val="clear" w:color="auto" w:fill="FFFFFF"/>
                <w:lang w:eastAsia="en-IE"/>
              </w:rPr>
              <w:t>Zurich Investments Life S.p.A</w:t>
            </w:r>
          </w:p>
        </w:tc>
      </w:tr>
      <w:tr w:rsidR="00CB497D" w:rsidRPr="00656794" w14:paraId="60A799D8" w14:textId="77777777" w:rsidTr="00215CE9">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D9B69" w14:textId="6A264FB3" w:rsidR="00CB497D" w:rsidRPr="00656794" w:rsidRDefault="00CB497D" w:rsidP="00CB497D">
            <w:pPr>
              <w:spacing w:after="0" w:line="240" w:lineRule="auto"/>
              <w:ind w:left="126"/>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ZLA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FC8CF" w14:textId="543EF598" w:rsidR="00CB497D" w:rsidRPr="00656794" w:rsidRDefault="00CB497D" w:rsidP="00CB497D">
            <w:pPr>
              <w:spacing w:after="0" w:line="240" w:lineRule="auto"/>
              <w:ind w:left="132" w:right="193"/>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Zurich Life Assurance</w:t>
            </w:r>
          </w:p>
        </w:tc>
      </w:tr>
      <w:tr w:rsidR="00CB497D" w:rsidRPr="00656794" w14:paraId="6CDC1D90" w14:textId="77777777" w:rsidTr="00215CE9">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9B253" w14:textId="5ACC7C56" w:rsidR="00CB497D" w:rsidRPr="00656794" w:rsidRDefault="00CB497D" w:rsidP="00CB497D">
            <w:pPr>
              <w:spacing w:after="0" w:line="240" w:lineRule="auto"/>
              <w:ind w:left="126"/>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ZLAP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AFA96" w14:textId="0E60A462" w:rsidR="00CB497D" w:rsidRPr="00656794" w:rsidRDefault="00CB497D" w:rsidP="00CB497D">
            <w:pPr>
              <w:spacing w:after="0" w:line="240" w:lineRule="auto"/>
              <w:ind w:left="132" w:right="193"/>
              <w:rPr>
                <w:rFonts w:ascii="Arial" w:eastAsia="Times New Roman" w:hAnsi="Arial" w:cs="Arial"/>
                <w:color w:val="000000"/>
                <w:sz w:val="18"/>
                <w:szCs w:val="18"/>
                <w:shd w:val="clear" w:color="auto" w:fill="FFFFFF"/>
                <w:lang w:val="it-IT" w:eastAsia="en-IE"/>
              </w:rPr>
            </w:pPr>
            <w:r w:rsidRPr="00656794">
              <w:rPr>
                <w:rFonts w:ascii="Arial" w:eastAsia="Times New Roman" w:hAnsi="Arial" w:cs="Arial"/>
                <w:color w:val="000000"/>
                <w:sz w:val="18"/>
                <w:szCs w:val="18"/>
                <w:shd w:val="clear" w:color="auto" w:fill="FFFFFF"/>
                <w:lang w:val="it-IT" w:eastAsia="en-IE"/>
              </w:rPr>
              <w:t>Zurich Life Assurance plc</w:t>
            </w:r>
          </w:p>
        </w:tc>
      </w:tr>
    </w:tbl>
    <w:p w14:paraId="48F1DA64" w14:textId="6C3686E9" w:rsidR="00215CE9" w:rsidRPr="00656794" w:rsidRDefault="00215CE9" w:rsidP="00CB497D">
      <w:pPr>
        <w:spacing w:before="543" w:after="0" w:line="240" w:lineRule="auto"/>
        <w:rPr>
          <w:rFonts w:ascii="Times New Roman" w:eastAsia="Times New Roman" w:hAnsi="Times New Roman" w:cs="Times New Roman"/>
          <w:sz w:val="24"/>
          <w:szCs w:val="24"/>
          <w:lang w:val="it-IT" w:eastAsia="en-IE"/>
        </w:rPr>
      </w:pPr>
    </w:p>
    <w:p w14:paraId="4B2C4582" w14:textId="40F5AF7A" w:rsidR="00215CE9" w:rsidRPr="00656794" w:rsidRDefault="00215CE9" w:rsidP="00215CE9">
      <w:pPr>
        <w:pStyle w:val="NormalWeb"/>
        <w:ind w:right="102"/>
        <w:jc w:val="both"/>
        <w:rPr>
          <w:rFonts w:ascii="Arial" w:hAnsi="Arial" w:cs="Arial"/>
          <w:color w:val="000000"/>
          <w:sz w:val="16"/>
          <w:szCs w:val="16"/>
          <w:lang w:val="it-IT"/>
        </w:rPr>
      </w:pPr>
      <w:r w:rsidRPr="00656794">
        <w:rPr>
          <w:rFonts w:ascii="Arial" w:hAnsi="Arial" w:cs="Arial"/>
          <w:color w:val="000000"/>
          <w:sz w:val="16"/>
          <w:szCs w:val="16"/>
          <w:lang w:val="it-IT"/>
        </w:rPr>
        <w:lastRenderedPageBreak/>
        <w:t>Le informazioni qui contenute sono di natura generale e non intendono affrontare le circostanze di un particolare individuo o entità. Sebbene ci sforziamo di fornire informazioni accurate e tempestive, non vi è alcuna garanzia che tali informazioni siano accurate alla data in cui vengono ricevute o che continueranno ad essere accurate in futuro. Nessuno dovrebbe agire in base a tali informazioni senza un</w:t>
      </w:r>
      <w:r w:rsidR="00F23A40" w:rsidRPr="00656794">
        <w:rPr>
          <w:rFonts w:ascii="Arial" w:hAnsi="Arial" w:cs="Arial"/>
          <w:color w:val="000000"/>
          <w:sz w:val="16"/>
          <w:szCs w:val="16"/>
          <w:lang w:val="it-IT"/>
        </w:rPr>
        <w:t>’</w:t>
      </w:r>
      <w:r w:rsidRPr="00656794">
        <w:rPr>
          <w:rFonts w:ascii="Arial" w:hAnsi="Arial" w:cs="Arial"/>
          <w:color w:val="000000"/>
          <w:sz w:val="16"/>
          <w:szCs w:val="16"/>
          <w:lang w:val="it-IT"/>
        </w:rPr>
        <w:t>adeguata consulenza professionale dopo un esame approfondito della situazione particolare.</w:t>
      </w:r>
    </w:p>
    <w:p w14:paraId="7C735967" w14:textId="05B63808" w:rsidR="00215CE9" w:rsidRPr="00656794" w:rsidRDefault="00215CE9" w:rsidP="00215CE9">
      <w:pPr>
        <w:pStyle w:val="NormalWeb"/>
        <w:ind w:right="102"/>
        <w:jc w:val="both"/>
        <w:rPr>
          <w:rFonts w:ascii="Arial" w:hAnsi="Arial" w:cs="Arial"/>
          <w:color w:val="000000"/>
          <w:sz w:val="16"/>
          <w:szCs w:val="16"/>
          <w:lang w:val="it-IT"/>
        </w:rPr>
      </w:pPr>
      <w:r w:rsidRPr="00656794">
        <w:rPr>
          <w:rFonts w:ascii="Arial" w:hAnsi="Arial" w:cs="Arial"/>
          <w:color w:val="000000"/>
          <w:sz w:val="16"/>
          <w:szCs w:val="16"/>
          <w:lang w:val="it-IT"/>
        </w:rPr>
        <w:t>© 2021 KPMG, una partnership irlandese e una società membro dell</w:t>
      </w:r>
      <w:r w:rsidR="00F23A40" w:rsidRPr="00656794">
        <w:rPr>
          <w:rFonts w:ascii="Arial" w:hAnsi="Arial" w:cs="Arial"/>
          <w:color w:val="000000"/>
          <w:sz w:val="16"/>
          <w:szCs w:val="16"/>
          <w:lang w:val="it-IT"/>
        </w:rPr>
        <w:t>’</w:t>
      </w:r>
      <w:r w:rsidRPr="00656794">
        <w:rPr>
          <w:rFonts w:ascii="Arial" w:hAnsi="Arial" w:cs="Arial"/>
          <w:color w:val="000000"/>
          <w:sz w:val="16"/>
          <w:szCs w:val="16"/>
          <w:lang w:val="it-IT"/>
        </w:rPr>
        <w:t>organizzazione globale KPMG di società indipendenti affiliate a KPMG International Limited, una società inglese privata a responsabilità limitata. Tutti i diritti riservati.</w:t>
      </w:r>
    </w:p>
    <w:p w14:paraId="152BC08C" w14:textId="7039B8B4" w:rsidR="00215CE9" w:rsidRPr="00656794" w:rsidRDefault="00215CE9" w:rsidP="00215CE9">
      <w:pPr>
        <w:pStyle w:val="NormalWeb"/>
        <w:ind w:right="102"/>
        <w:jc w:val="both"/>
        <w:rPr>
          <w:rFonts w:ascii="Arial" w:hAnsi="Arial" w:cs="Arial"/>
          <w:color w:val="000000"/>
          <w:sz w:val="16"/>
          <w:szCs w:val="16"/>
          <w:lang w:val="it-IT"/>
        </w:rPr>
      </w:pPr>
      <w:r w:rsidRPr="00656794">
        <w:rPr>
          <w:rFonts w:ascii="Arial" w:hAnsi="Arial" w:cs="Arial"/>
          <w:color w:val="000000"/>
          <w:sz w:val="16"/>
          <w:szCs w:val="16"/>
          <w:lang w:val="it-IT"/>
        </w:rPr>
        <w:t>Il nome e il logo KPMG sono marchi registrati di KPMG International.</w:t>
      </w:r>
    </w:p>
    <w:p w14:paraId="6A835336" w14:textId="77777777" w:rsidR="00925FDC" w:rsidRPr="00656794" w:rsidRDefault="00925FDC" w:rsidP="00925FDC">
      <w:pPr>
        <w:rPr>
          <w:rFonts w:ascii="Calibri" w:hAnsi="Calibri" w:cs="Calibri"/>
          <w:color w:val="000000"/>
          <w:sz w:val="16"/>
          <w:lang w:val="it-IT"/>
        </w:rPr>
      </w:pPr>
      <w:r w:rsidRPr="00656794">
        <w:rPr>
          <w:rFonts w:ascii="Calibri" w:hAnsi="Calibri" w:cs="Calibri"/>
          <w:color w:val="000000"/>
          <w:sz w:val="16"/>
          <w:lang w:val="it-IT"/>
        </w:rPr>
        <w:t>Dati altamente riservati \ dati non personali</w:t>
      </w:r>
    </w:p>
    <w:p w14:paraId="34EA13EC" w14:textId="77777777" w:rsidR="003829D9" w:rsidRPr="00656794" w:rsidRDefault="003829D9" w:rsidP="003829D9">
      <w:pPr>
        <w:pStyle w:val="NormalWeb"/>
        <w:ind w:right="102"/>
        <w:jc w:val="both"/>
        <w:rPr>
          <w:rFonts w:ascii="Arial" w:hAnsi="Arial" w:cs="Arial"/>
          <w:color w:val="000000"/>
          <w:sz w:val="20"/>
          <w:szCs w:val="20"/>
          <w:lang w:val="it-IT"/>
        </w:rPr>
      </w:pPr>
    </w:p>
    <w:p w14:paraId="7D382A2A" w14:textId="77777777" w:rsidR="00031362" w:rsidRPr="00656794" w:rsidRDefault="00031362" w:rsidP="00031362">
      <w:pPr>
        <w:pStyle w:val="NormalWeb"/>
        <w:ind w:right="102"/>
        <w:jc w:val="both"/>
        <w:rPr>
          <w:rFonts w:ascii="Arial" w:hAnsi="Arial" w:cs="Arial"/>
          <w:color w:val="000000"/>
          <w:sz w:val="20"/>
          <w:szCs w:val="20"/>
          <w:lang w:val="it-IT"/>
        </w:rPr>
      </w:pPr>
    </w:p>
    <w:sectPr w:rsidR="00031362" w:rsidRPr="0065679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FF9E" w14:textId="77777777" w:rsidR="00F822C5" w:rsidRDefault="00F822C5" w:rsidP="00224521">
      <w:pPr>
        <w:spacing w:after="0" w:line="240" w:lineRule="auto"/>
      </w:pPr>
      <w:r>
        <w:separator/>
      </w:r>
    </w:p>
  </w:endnote>
  <w:endnote w:type="continuationSeparator" w:id="0">
    <w:p w14:paraId="796BD33F" w14:textId="77777777" w:rsidR="00F822C5" w:rsidRDefault="00F822C5" w:rsidP="0022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6FD3" w14:textId="3A90056F" w:rsidR="00224521" w:rsidRDefault="00224521">
    <w:pPr>
      <w:pStyle w:val="Footer"/>
    </w:pPr>
    <w:r>
      <w:rPr>
        <w:noProof/>
      </w:rPr>
      <mc:AlternateContent>
        <mc:Choice Requires="wps">
          <w:drawing>
            <wp:anchor distT="0" distB="0" distL="114300" distR="114300" simplePos="0" relativeHeight="251659264" behindDoc="0" locked="0" layoutInCell="0" allowOverlap="1" wp14:anchorId="422D5269" wp14:editId="0AF2250C">
              <wp:simplePos x="0" y="0"/>
              <wp:positionH relativeFrom="page">
                <wp:posOffset>0</wp:posOffset>
              </wp:positionH>
              <wp:positionV relativeFrom="page">
                <wp:posOffset>10227945</wp:posOffset>
              </wp:positionV>
              <wp:extent cx="7560310" cy="273050"/>
              <wp:effectExtent l="0" t="0" r="0" b="12700"/>
              <wp:wrapNone/>
              <wp:docPr id="1" name="MSIPCMdd96433b90ea93b97e80cfb9"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9717D1" w14:textId="5ACCF4C8" w:rsidR="00224521" w:rsidRPr="00224521" w:rsidRDefault="00224521" w:rsidP="00224521">
                          <w:pPr>
                            <w:spacing w:after="0"/>
                            <w:rPr>
                              <w:rFonts w:ascii="Calibri" w:hAnsi="Calibri" w:cs="Calibri"/>
                              <w:color w:val="000000"/>
                              <w:sz w:val="20"/>
                            </w:rPr>
                          </w:pPr>
                          <w:r w:rsidRPr="00224521">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2D5269" id="_x0000_t202" coordsize="21600,21600" o:spt="202" path="m,l,21600r21600,l21600,xe">
              <v:stroke joinstyle="miter"/>
              <v:path gradientshapeok="t" o:connecttype="rect"/>
            </v:shapetype>
            <v:shape id="MSIPCMdd96433b90ea93b97e80cfb9"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SuWkvK8CAABIBQAADgAA&#10;AAAAAAAAAAAAAAAuAgAAZHJzL2Uyb0RvYy54bWxQSwECLQAUAAYACAAAACEAfHYI4d8AAAALAQAA&#10;DwAAAAAAAAAAAAAAAAAJBQAAZHJzL2Rvd25yZXYueG1sUEsFBgAAAAAEAAQA8wAAABUGAAAAAA==&#10;" o:allowincell="f" filled="f" stroked="f" strokeweight=".5pt">
              <v:textbox inset="20pt,0,,0">
                <w:txbxContent>
                  <w:p w14:paraId="5B9717D1" w14:textId="5ACCF4C8" w:rsidR="00224521" w:rsidRPr="00224521" w:rsidRDefault="00224521" w:rsidP="00224521">
                    <w:pPr>
                      <w:spacing w:after="0"/>
                      <w:rPr>
                        <w:rFonts w:ascii="Calibri" w:hAnsi="Calibri" w:cs="Calibri"/>
                        <w:color w:val="000000"/>
                        <w:sz w:val="20"/>
                      </w:rPr>
                    </w:pPr>
                    <w:r w:rsidRPr="00224521">
                      <w:rPr>
                        <w:rFonts w:ascii="Calibri" w:hAnsi="Calibri" w:cs="Calibri"/>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8B33" w14:textId="77777777" w:rsidR="00F822C5" w:rsidRDefault="00F822C5" w:rsidP="00224521">
      <w:pPr>
        <w:spacing w:after="0" w:line="240" w:lineRule="auto"/>
      </w:pPr>
      <w:r>
        <w:separator/>
      </w:r>
    </w:p>
  </w:footnote>
  <w:footnote w:type="continuationSeparator" w:id="0">
    <w:p w14:paraId="4CB7E47A" w14:textId="77777777" w:rsidR="00F822C5" w:rsidRDefault="00F822C5" w:rsidP="002245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C68"/>
    <w:multiLevelType w:val="hybridMultilevel"/>
    <w:tmpl w:val="601A1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2C3CCF"/>
    <w:multiLevelType w:val="hybridMultilevel"/>
    <w:tmpl w:val="377010C4"/>
    <w:lvl w:ilvl="0" w:tplc="90A8FEA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A9F7D98"/>
    <w:multiLevelType w:val="hybridMultilevel"/>
    <w:tmpl w:val="01FA2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FD2847"/>
    <w:multiLevelType w:val="hybridMultilevel"/>
    <w:tmpl w:val="B03212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C229DB"/>
    <w:multiLevelType w:val="hybridMultilevel"/>
    <w:tmpl w:val="C096C038"/>
    <w:lvl w:ilvl="0" w:tplc="90A8FEA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153353D"/>
    <w:multiLevelType w:val="hybridMultilevel"/>
    <w:tmpl w:val="2B34D1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5561F5"/>
    <w:multiLevelType w:val="hybridMultilevel"/>
    <w:tmpl w:val="9F18DEA8"/>
    <w:lvl w:ilvl="0" w:tplc="90A8FEA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A966FB5"/>
    <w:multiLevelType w:val="hybridMultilevel"/>
    <w:tmpl w:val="F91AE0F6"/>
    <w:lvl w:ilvl="0" w:tplc="90A8FEA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C2C44A32">
      <w:start w:val="4"/>
      <w:numFmt w:val="bullet"/>
      <w:lvlText w:val="-"/>
      <w:lvlJc w:val="left"/>
      <w:pPr>
        <w:ind w:left="1800" w:hanging="360"/>
      </w:pPr>
      <w:rPr>
        <w:rFonts w:ascii="Arial" w:eastAsia="Times New Roman" w:hAnsi="Arial" w:cs="Arial" w:hint="default"/>
      </w:rPr>
    </w:lvl>
    <w:lvl w:ilvl="3" w:tplc="BCA8EC44">
      <w:start w:val="4"/>
      <w:numFmt w:val="bullet"/>
      <w:lvlText w:val="—"/>
      <w:lvlJc w:val="left"/>
      <w:pPr>
        <w:ind w:left="2520" w:hanging="360"/>
      </w:pPr>
      <w:rPr>
        <w:rFonts w:ascii="Arial" w:eastAsia="Times New Roman" w:hAnsi="Arial" w:cs="Aria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59F4962"/>
    <w:multiLevelType w:val="hybridMultilevel"/>
    <w:tmpl w:val="EEF24C86"/>
    <w:lvl w:ilvl="0" w:tplc="D66811D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9F06C21"/>
    <w:multiLevelType w:val="hybridMultilevel"/>
    <w:tmpl w:val="E12A8416"/>
    <w:lvl w:ilvl="0" w:tplc="90A8FEA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E284882"/>
    <w:multiLevelType w:val="hybridMultilevel"/>
    <w:tmpl w:val="AA82EC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06B1700"/>
    <w:multiLevelType w:val="hybridMultilevel"/>
    <w:tmpl w:val="2160D3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46F293E"/>
    <w:multiLevelType w:val="hybridMultilevel"/>
    <w:tmpl w:val="E7F2E6AC"/>
    <w:lvl w:ilvl="0" w:tplc="90A8FEA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71F2ECB"/>
    <w:multiLevelType w:val="hybridMultilevel"/>
    <w:tmpl w:val="A6B4E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28E4E40"/>
    <w:multiLevelType w:val="hybridMultilevel"/>
    <w:tmpl w:val="6660D66E"/>
    <w:lvl w:ilvl="0" w:tplc="90A8FEA4">
      <w:start w:val="1"/>
      <w:numFmt w:val="bullet"/>
      <w:lvlText w:val=""/>
      <w:lvlJc w:val="left"/>
      <w:pPr>
        <w:ind w:left="720" w:hanging="720"/>
      </w:pPr>
      <w:rPr>
        <w:rFonts w:ascii="Symbol" w:hAnsi="Symbol" w:hint="default"/>
      </w:rPr>
    </w:lvl>
    <w:lvl w:ilvl="1" w:tplc="FFFFFFFF">
      <w:start w:val="4"/>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3BD3E3B"/>
    <w:multiLevelType w:val="hybridMultilevel"/>
    <w:tmpl w:val="46B859D2"/>
    <w:lvl w:ilvl="0" w:tplc="90A8FEA4">
      <w:start w:val="1"/>
      <w:numFmt w:val="bullet"/>
      <w:lvlText w:val=""/>
      <w:lvlJc w:val="left"/>
      <w:pPr>
        <w:ind w:left="720" w:hanging="720"/>
      </w:pPr>
      <w:rPr>
        <w:rFonts w:ascii="Symbol" w:hAnsi="Symbol" w:hint="default"/>
      </w:rPr>
    </w:lvl>
    <w:lvl w:ilvl="1" w:tplc="FFFFFFFF">
      <w:start w:val="4"/>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4A742BF"/>
    <w:multiLevelType w:val="hybridMultilevel"/>
    <w:tmpl w:val="AC1882C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7E366C6"/>
    <w:multiLevelType w:val="hybridMultilevel"/>
    <w:tmpl w:val="2354C542"/>
    <w:lvl w:ilvl="0" w:tplc="90A8FEA4">
      <w:start w:val="1"/>
      <w:numFmt w:val="bullet"/>
      <w:lvlText w:val=""/>
      <w:lvlJc w:val="left"/>
      <w:pPr>
        <w:ind w:left="720" w:hanging="720"/>
      </w:pPr>
      <w:rPr>
        <w:rFonts w:ascii="Symbol" w:hAnsi="Symbol" w:hint="default"/>
      </w:rPr>
    </w:lvl>
    <w:lvl w:ilvl="1" w:tplc="FFFFFFFF">
      <w:start w:val="4"/>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8C53FBA"/>
    <w:multiLevelType w:val="hybridMultilevel"/>
    <w:tmpl w:val="ED0A4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5BE79FC"/>
    <w:multiLevelType w:val="hybridMultilevel"/>
    <w:tmpl w:val="5D6C90F6"/>
    <w:lvl w:ilvl="0" w:tplc="1BD2C9BE">
      <w:start w:val="1"/>
      <w:numFmt w:val="lowerRoman"/>
      <w:lvlText w:val="%1."/>
      <w:lvlJc w:val="left"/>
      <w:pPr>
        <w:ind w:left="720" w:hanging="720"/>
      </w:pPr>
      <w:rPr>
        <w:rFonts w:hint="default"/>
      </w:rPr>
    </w:lvl>
    <w:lvl w:ilvl="1" w:tplc="D2DE12C4">
      <w:start w:val="4"/>
      <w:numFmt w:val="bullet"/>
      <w:lvlText w:val="–"/>
      <w:lvlJc w:val="left"/>
      <w:pPr>
        <w:ind w:left="1080" w:hanging="360"/>
      </w:pPr>
      <w:rPr>
        <w:rFonts w:ascii="Arial" w:eastAsia="Times New Roman" w:hAnsi="Arial" w:cs="Aria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87116DF"/>
    <w:multiLevelType w:val="hybridMultilevel"/>
    <w:tmpl w:val="282EC8B8"/>
    <w:lvl w:ilvl="0" w:tplc="1BD2C9BE">
      <w:start w:val="1"/>
      <w:numFmt w:val="lowerRoman"/>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CBE0B98"/>
    <w:multiLevelType w:val="hybridMultilevel"/>
    <w:tmpl w:val="A358CFEE"/>
    <w:lvl w:ilvl="0" w:tplc="D66811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32E77D4"/>
    <w:multiLevelType w:val="hybridMultilevel"/>
    <w:tmpl w:val="C6229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33B5D4B"/>
    <w:multiLevelType w:val="hybridMultilevel"/>
    <w:tmpl w:val="AE80D31C"/>
    <w:lvl w:ilvl="0" w:tplc="90A8FEA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74D05FE"/>
    <w:multiLevelType w:val="hybridMultilevel"/>
    <w:tmpl w:val="0204A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E1249A1"/>
    <w:multiLevelType w:val="hybridMultilevel"/>
    <w:tmpl w:val="B96C0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0"/>
  </w:num>
  <w:num w:numId="4">
    <w:abstractNumId w:val="24"/>
  </w:num>
  <w:num w:numId="5">
    <w:abstractNumId w:val="25"/>
  </w:num>
  <w:num w:numId="6">
    <w:abstractNumId w:val="2"/>
  </w:num>
  <w:num w:numId="7">
    <w:abstractNumId w:val="13"/>
  </w:num>
  <w:num w:numId="8">
    <w:abstractNumId w:val="0"/>
  </w:num>
  <w:num w:numId="9">
    <w:abstractNumId w:val="5"/>
  </w:num>
  <w:num w:numId="10">
    <w:abstractNumId w:val="19"/>
  </w:num>
  <w:num w:numId="11">
    <w:abstractNumId w:val="20"/>
  </w:num>
  <w:num w:numId="12">
    <w:abstractNumId w:val="21"/>
  </w:num>
  <w:num w:numId="13">
    <w:abstractNumId w:val="8"/>
  </w:num>
  <w:num w:numId="14">
    <w:abstractNumId w:val="3"/>
  </w:num>
  <w:num w:numId="15">
    <w:abstractNumId w:val="22"/>
  </w:num>
  <w:num w:numId="16">
    <w:abstractNumId w:val="17"/>
  </w:num>
  <w:num w:numId="17">
    <w:abstractNumId w:val="7"/>
  </w:num>
  <w:num w:numId="18">
    <w:abstractNumId w:val="18"/>
  </w:num>
  <w:num w:numId="19">
    <w:abstractNumId w:val="14"/>
  </w:num>
  <w:num w:numId="20">
    <w:abstractNumId w:val="1"/>
  </w:num>
  <w:num w:numId="21">
    <w:abstractNumId w:val="9"/>
  </w:num>
  <w:num w:numId="22">
    <w:abstractNumId w:val="6"/>
  </w:num>
  <w:num w:numId="23">
    <w:abstractNumId w:val="23"/>
  </w:num>
  <w:num w:numId="24">
    <w:abstractNumId w:val="15"/>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A4"/>
    <w:rsid w:val="0000003E"/>
    <w:rsid w:val="00002F1D"/>
    <w:rsid w:val="00004C17"/>
    <w:rsid w:val="0000727B"/>
    <w:rsid w:val="000079FB"/>
    <w:rsid w:val="00015653"/>
    <w:rsid w:val="000165DF"/>
    <w:rsid w:val="000167FF"/>
    <w:rsid w:val="00017166"/>
    <w:rsid w:val="00027064"/>
    <w:rsid w:val="00031362"/>
    <w:rsid w:val="000333EC"/>
    <w:rsid w:val="00041903"/>
    <w:rsid w:val="00051FE2"/>
    <w:rsid w:val="00063A96"/>
    <w:rsid w:val="000640ED"/>
    <w:rsid w:val="00066921"/>
    <w:rsid w:val="000671E6"/>
    <w:rsid w:val="00075AF7"/>
    <w:rsid w:val="000876AC"/>
    <w:rsid w:val="00096836"/>
    <w:rsid w:val="000A1A44"/>
    <w:rsid w:val="000A1AB2"/>
    <w:rsid w:val="000A6E2A"/>
    <w:rsid w:val="000C0220"/>
    <w:rsid w:val="000D39D4"/>
    <w:rsid w:val="000E2DA8"/>
    <w:rsid w:val="000E3929"/>
    <w:rsid w:val="000E7646"/>
    <w:rsid w:val="000F279B"/>
    <w:rsid w:val="000F4536"/>
    <w:rsid w:val="000F7803"/>
    <w:rsid w:val="001006D0"/>
    <w:rsid w:val="00102744"/>
    <w:rsid w:val="00110501"/>
    <w:rsid w:val="00110CD2"/>
    <w:rsid w:val="00114EC2"/>
    <w:rsid w:val="00126414"/>
    <w:rsid w:val="00130A9C"/>
    <w:rsid w:val="00135773"/>
    <w:rsid w:val="001362AC"/>
    <w:rsid w:val="00151C33"/>
    <w:rsid w:val="00155F09"/>
    <w:rsid w:val="00155FBD"/>
    <w:rsid w:val="001564B8"/>
    <w:rsid w:val="001672A4"/>
    <w:rsid w:val="00176044"/>
    <w:rsid w:val="0018520E"/>
    <w:rsid w:val="00187A3D"/>
    <w:rsid w:val="00192B8C"/>
    <w:rsid w:val="0019347A"/>
    <w:rsid w:val="001A0A9B"/>
    <w:rsid w:val="001A54AC"/>
    <w:rsid w:val="001A6FE8"/>
    <w:rsid w:val="001C5DEB"/>
    <w:rsid w:val="001C7704"/>
    <w:rsid w:val="001D2BA3"/>
    <w:rsid w:val="001E2784"/>
    <w:rsid w:val="001E7829"/>
    <w:rsid w:val="001F28EC"/>
    <w:rsid w:val="0020545F"/>
    <w:rsid w:val="00212B92"/>
    <w:rsid w:val="00215CE9"/>
    <w:rsid w:val="00224521"/>
    <w:rsid w:val="00236DFA"/>
    <w:rsid w:val="002549D3"/>
    <w:rsid w:val="00257DDB"/>
    <w:rsid w:val="00264715"/>
    <w:rsid w:val="00264B8D"/>
    <w:rsid w:val="00265FE3"/>
    <w:rsid w:val="00272A18"/>
    <w:rsid w:val="00280B87"/>
    <w:rsid w:val="002838DA"/>
    <w:rsid w:val="002A0598"/>
    <w:rsid w:val="002A2DCF"/>
    <w:rsid w:val="002A2E30"/>
    <w:rsid w:val="002A32A4"/>
    <w:rsid w:val="002A391E"/>
    <w:rsid w:val="002A5A7B"/>
    <w:rsid w:val="002A6023"/>
    <w:rsid w:val="002B0FFD"/>
    <w:rsid w:val="002C17A1"/>
    <w:rsid w:val="002C4F88"/>
    <w:rsid w:val="002D5695"/>
    <w:rsid w:val="002F11B4"/>
    <w:rsid w:val="002F2BD3"/>
    <w:rsid w:val="002F77AA"/>
    <w:rsid w:val="003056E6"/>
    <w:rsid w:val="00306F56"/>
    <w:rsid w:val="00315697"/>
    <w:rsid w:val="00320531"/>
    <w:rsid w:val="00322631"/>
    <w:rsid w:val="00351EB5"/>
    <w:rsid w:val="00354FE2"/>
    <w:rsid w:val="0035633D"/>
    <w:rsid w:val="0036062F"/>
    <w:rsid w:val="00366913"/>
    <w:rsid w:val="003718F3"/>
    <w:rsid w:val="00377BBB"/>
    <w:rsid w:val="003800DF"/>
    <w:rsid w:val="003829D9"/>
    <w:rsid w:val="00390973"/>
    <w:rsid w:val="00390CF9"/>
    <w:rsid w:val="00391605"/>
    <w:rsid w:val="003973C9"/>
    <w:rsid w:val="003A39F1"/>
    <w:rsid w:val="003A43B3"/>
    <w:rsid w:val="003B2766"/>
    <w:rsid w:val="003C2942"/>
    <w:rsid w:val="003C6CC5"/>
    <w:rsid w:val="003C74B7"/>
    <w:rsid w:val="003D0380"/>
    <w:rsid w:val="003E34FA"/>
    <w:rsid w:val="003E6507"/>
    <w:rsid w:val="003F4938"/>
    <w:rsid w:val="004011DA"/>
    <w:rsid w:val="00411364"/>
    <w:rsid w:val="00417E0E"/>
    <w:rsid w:val="00420F7E"/>
    <w:rsid w:val="00422DB7"/>
    <w:rsid w:val="00425FA7"/>
    <w:rsid w:val="0043519D"/>
    <w:rsid w:val="004369FF"/>
    <w:rsid w:val="0044015F"/>
    <w:rsid w:val="00446E83"/>
    <w:rsid w:val="00451D23"/>
    <w:rsid w:val="00453348"/>
    <w:rsid w:val="00463686"/>
    <w:rsid w:val="00467289"/>
    <w:rsid w:val="0047587B"/>
    <w:rsid w:val="00485F2F"/>
    <w:rsid w:val="00491F7E"/>
    <w:rsid w:val="00493878"/>
    <w:rsid w:val="004A39A6"/>
    <w:rsid w:val="004A599B"/>
    <w:rsid w:val="004A696E"/>
    <w:rsid w:val="004B1A1F"/>
    <w:rsid w:val="004B3887"/>
    <w:rsid w:val="004B4F5A"/>
    <w:rsid w:val="004C108B"/>
    <w:rsid w:val="004C2BF1"/>
    <w:rsid w:val="004D1561"/>
    <w:rsid w:val="004E1BCF"/>
    <w:rsid w:val="00512D83"/>
    <w:rsid w:val="00520314"/>
    <w:rsid w:val="00525C00"/>
    <w:rsid w:val="00526E24"/>
    <w:rsid w:val="00540F7B"/>
    <w:rsid w:val="00544C77"/>
    <w:rsid w:val="00544F46"/>
    <w:rsid w:val="005521BB"/>
    <w:rsid w:val="00554A5F"/>
    <w:rsid w:val="005662D1"/>
    <w:rsid w:val="00570E1B"/>
    <w:rsid w:val="005720DF"/>
    <w:rsid w:val="0057339E"/>
    <w:rsid w:val="00580879"/>
    <w:rsid w:val="00581149"/>
    <w:rsid w:val="00586D6E"/>
    <w:rsid w:val="005A0B19"/>
    <w:rsid w:val="005A36AD"/>
    <w:rsid w:val="005A3D91"/>
    <w:rsid w:val="005B54A9"/>
    <w:rsid w:val="005B7BBB"/>
    <w:rsid w:val="005C0326"/>
    <w:rsid w:val="005C46A6"/>
    <w:rsid w:val="005D4B3C"/>
    <w:rsid w:val="005E55EE"/>
    <w:rsid w:val="005E61A7"/>
    <w:rsid w:val="005E6F6A"/>
    <w:rsid w:val="005F04C4"/>
    <w:rsid w:val="00606E99"/>
    <w:rsid w:val="0061396F"/>
    <w:rsid w:val="006172C6"/>
    <w:rsid w:val="006172EE"/>
    <w:rsid w:val="00620D6A"/>
    <w:rsid w:val="00626E3B"/>
    <w:rsid w:val="00632D24"/>
    <w:rsid w:val="00635DA7"/>
    <w:rsid w:val="00642002"/>
    <w:rsid w:val="00643713"/>
    <w:rsid w:val="00656794"/>
    <w:rsid w:val="00666CE8"/>
    <w:rsid w:val="00677A72"/>
    <w:rsid w:val="00680316"/>
    <w:rsid w:val="006872CE"/>
    <w:rsid w:val="006924C4"/>
    <w:rsid w:val="00692744"/>
    <w:rsid w:val="00694C3C"/>
    <w:rsid w:val="006A50D5"/>
    <w:rsid w:val="006B25D7"/>
    <w:rsid w:val="006B52EF"/>
    <w:rsid w:val="006D0CEC"/>
    <w:rsid w:val="006D6E7D"/>
    <w:rsid w:val="006E4DA9"/>
    <w:rsid w:val="006E60CD"/>
    <w:rsid w:val="006F4255"/>
    <w:rsid w:val="006F59BB"/>
    <w:rsid w:val="0070253E"/>
    <w:rsid w:val="007052A0"/>
    <w:rsid w:val="00705525"/>
    <w:rsid w:val="00710E21"/>
    <w:rsid w:val="00711A77"/>
    <w:rsid w:val="00712419"/>
    <w:rsid w:val="00720269"/>
    <w:rsid w:val="00730B26"/>
    <w:rsid w:val="00745847"/>
    <w:rsid w:val="0075742D"/>
    <w:rsid w:val="00757DE6"/>
    <w:rsid w:val="0076313D"/>
    <w:rsid w:val="00776489"/>
    <w:rsid w:val="00780C01"/>
    <w:rsid w:val="00783326"/>
    <w:rsid w:val="00783817"/>
    <w:rsid w:val="0078464F"/>
    <w:rsid w:val="00785ADD"/>
    <w:rsid w:val="007935FC"/>
    <w:rsid w:val="007977B3"/>
    <w:rsid w:val="007A2075"/>
    <w:rsid w:val="007A212E"/>
    <w:rsid w:val="007A2D98"/>
    <w:rsid w:val="007A389D"/>
    <w:rsid w:val="007A733D"/>
    <w:rsid w:val="007B421E"/>
    <w:rsid w:val="007B453C"/>
    <w:rsid w:val="007B7354"/>
    <w:rsid w:val="007C1129"/>
    <w:rsid w:val="007C28E7"/>
    <w:rsid w:val="007D36C2"/>
    <w:rsid w:val="007E1860"/>
    <w:rsid w:val="007E211D"/>
    <w:rsid w:val="007E2D91"/>
    <w:rsid w:val="007E3997"/>
    <w:rsid w:val="007E409B"/>
    <w:rsid w:val="007E7121"/>
    <w:rsid w:val="007E7E49"/>
    <w:rsid w:val="007F4433"/>
    <w:rsid w:val="007F54BB"/>
    <w:rsid w:val="008012E2"/>
    <w:rsid w:val="00802153"/>
    <w:rsid w:val="0080440B"/>
    <w:rsid w:val="00816CB9"/>
    <w:rsid w:val="008254D7"/>
    <w:rsid w:val="0082789C"/>
    <w:rsid w:val="008343EC"/>
    <w:rsid w:val="0084733C"/>
    <w:rsid w:val="00852BEF"/>
    <w:rsid w:val="00856738"/>
    <w:rsid w:val="00862B9F"/>
    <w:rsid w:val="0086526E"/>
    <w:rsid w:val="0086744A"/>
    <w:rsid w:val="008674EA"/>
    <w:rsid w:val="00867942"/>
    <w:rsid w:val="00870CE8"/>
    <w:rsid w:val="00870E24"/>
    <w:rsid w:val="00873641"/>
    <w:rsid w:val="00873B88"/>
    <w:rsid w:val="00874B9E"/>
    <w:rsid w:val="008800B9"/>
    <w:rsid w:val="00891CE0"/>
    <w:rsid w:val="0089524C"/>
    <w:rsid w:val="008966C9"/>
    <w:rsid w:val="008A0967"/>
    <w:rsid w:val="008A225C"/>
    <w:rsid w:val="008A4E09"/>
    <w:rsid w:val="008A525A"/>
    <w:rsid w:val="008C4663"/>
    <w:rsid w:val="008C6994"/>
    <w:rsid w:val="008D3983"/>
    <w:rsid w:val="008E246A"/>
    <w:rsid w:val="008E4AF5"/>
    <w:rsid w:val="008E4C71"/>
    <w:rsid w:val="008E5B1C"/>
    <w:rsid w:val="008E7BEF"/>
    <w:rsid w:val="008F0D83"/>
    <w:rsid w:val="008F1088"/>
    <w:rsid w:val="008F2D45"/>
    <w:rsid w:val="008F4702"/>
    <w:rsid w:val="008F4E06"/>
    <w:rsid w:val="008F53DA"/>
    <w:rsid w:val="008F75FD"/>
    <w:rsid w:val="009051E2"/>
    <w:rsid w:val="0090673C"/>
    <w:rsid w:val="0091349A"/>
    <w:rsid w:val="00925FDC"/>
    <w:rsid w:val="009276DA"/>
    <w:rsid w:val="009304F1"/>
    <w:rsid w:val="00931E4D"/>
    <w:rsid w:val="009329E3"/>
    <w:rsid w:val="00935B1B"/>
    <w:rsid w:val="0094302E"/>
    <w:rsid w:val="00953699"/>
    <w:rsid w:val="00956FE0"/>
    <w:rsid w:val="00977185"/>
    <w:rsid w:val="00984CF5"/>
    <w:rsid w:val="00985E7B"/>
    <w:rsid w:val="00995161"/>
    <w:rsid w:val="009A05C5"/>
    <w:rsid w:val="009A54F5"/>
    <w:rsid w:val="009B1649"/>
    <w:rsid w:val="009B3B1D"/>
    <w:rsid w:val="009C1178"/>
    <w:rsid w:val="009C2D44"/>
    <w:rsid w:val="009D2427"/>
    <w:rsid w:val="009D25ED"/>
    <w:rsid w:val="009D3FDB"/>
    <w:rsid w:val="009E4AA6"/>
    <w:rsid w:val="009E4FD4"/>
    <w:rsid w:val="009F2093"/>
    <w:rsid w:val="009F383F"/>
    <w:rsid w:val="00A04F48"/>
    <w:rsid w:val="00A14C33"/>
    <w:rsid w:val="00A256E9"/>
    <w:rsid w:val="00A32633"/>
    <w:rsid w:val="00A36BA1"/>
    <w:rsid w:val="00A4066B"/>
    <w:rsid w:val="00A43F3E"/>
    <w:rsid w:val="00A4633F"/>
    <w:rsid w:val="00A46DE8"/>
    <w:rsid w:val="00A503DC"/>
    <w:rsid w:val="00A52554"/>
    <w:rsid w:val="00A52CE5"/>
    <w:rsid w:val="00A542F2"/>
    <w:rsid w:val="00A642C0"/>
    <w:rsid w:val="00A73BBE"/>
    <w:rsid w:val="00A82666"/>
    <w:rsid w:val="00A82798"/>
    <w:rsid w:val="00A84D11"/>
    <w:rsid w:val="00A87820"/>
    <w:rsid w:val="00A9166B"/>
    <w:rsid w:val="00AA1E68"/>
    <w:rsid w:val="00AA6CEC"/>
    <w:rsid w:val="00AC0F9F"/>
    <w:rsid w:val="00AC16DC"/>
    <w:rsid w:val="00AC1C4B"/>
    <w:rsid w:val="00AC4CF1"/>
    <w:rsid w:val="00AC4F92"/>
    <w:rsid w:val="00AD0F9C"/>
    <w:rsid w:val="00AE4256"/>
    <w:rsid w:val="00AF0295"/>
    <w:rsid w:val="00AF390E"/>
    <w:rsid w:val="00AF6C34"/>
    <w:rsid w:val="00B057C5"/>
    <w:rsid w:val="00B072AD"/>
    <w:rsid w:val="00B101BE"/>
    <w:rsid w:val="00B27DDD"/>
    <w:rsid w:val="00B30131"/>
    <w:rsid w:val="00B328F8"/>
    <w:rsid w:val="00B416C2"/>
    <w:rsid w:val="00B470FF"/>
    <w:rsid w:val="00B54A6C"/>
    <w:rsid w:val="00B60A72"/>
    <w:rsid w:val="00B75A9E"/>
    <w:rsid w:val="00B84464"/>
    <w:rsid w:val="00B87083"/>
    <w:rsid w:val="00B90D33"/>
    <w:rsid w:val="00B9172D"/>
    <w:rsid w:val="00BA5AE7"/>
    <w:rsid w:val="00BB3EFF"/>
    <w:rsid w:val="00BB43D4"/>
    <w:rsid w:val="00BB5939"/>
    <w:rsid w:val="00BC3179"/>
    <w:rsid w:val="00BC54AE"/>
    <w:rsid w:val="00BE431C"/>
    <w:rsid w:val="00BE4453"/>
    <w:rsid w:val="00BF27A6"/>
    <w:rsid w:val="00C011A9"/>
    <w:rsid w:val="00C01EAD"/>
    <w:rsid w:val="00C0350F"/>
    <w:rsid w:val="00C10D47"/>
    <w:rsid w:val="00C120B8"/>
    <w:rsid w:val="00C175A0"/>
    <w:rsid w:val="00C2462F"/>
    <w:rsid w:val="00C27811"/>
    <w:rsid w:val="00C31F91"/>
    <w:rsid w:val="00C42014"/>
    <w:rsid w:val="00C47546"/>
    <w:rsid w:val="00C511FA"/>
    <w:rsid w:val="00C67906"/>
    <w:rsid w:val="00C8549B"/>
    <w:rsid w:val="00C8631C"/>
    <w:rsid w:val="00C974C3"/>
    <w:rsid w:val="00CA7E8A"/>
    <w:rsid w:val="00CB497D"/>
    <w:rsid w:val="00CB4C9C"/>
    <w:rsid w:val="00CC0F8E"/>
    <w:rsid w:val="00CD0E80"/>
    <w:rsid w:val="00CD32BD"/>
    <w:rsid w:val="00CE260C"/>
    <w:rsid w:val="00CE466E"/>
    <w:rsid w:val="00CF0AEA"/>
    <w:rsid w:val="00CF6E08"/>
    <w:rsid w:val="00CF74BA"/>
    <w:rsid w:val="00CF7F39"/>
    <w:rsid w:val="00D01637"/>
    <w:rsid w:val="00D10226"/>
    <w:rsid w:val="00D160D9"/>
    <w:rsid w:val="00D20690"/>
    <w:rsid w:val="00D20929"/>
    <w:rsid w:val="00D23E73"/>
    <w:rsid w:val="00D27C34"/>
    <w:rsid w:val="00D40481"/>
    <w:rsid w:val="00D438FA"/>
    <w:rsid w:val="00D64DC1"/>
    <w:rsid w:val="00D659FF"/>
    <w:rsid w:val="00D67135"/>
    <w:rsid w:val="00D7069D"/>
    <w:rsid w:val="00D76A36"/>
    <w:rsid w:val="00D821AB"/>
    <w:rsid w:val="00D82437"/>
    <w:rsid w:val="00D83AA4"/>
    <w:rsid w:val="00D8558C"/>
    <w:rsid w:val="00D95B49"/>
    <w:rsid w:val="00D97EEF"/>
    <w:rsid w:val="00DA1CEB"/>
    <w:rsid w:val="00DB178A"/>
    <w:rsid w:val="00DB414C"/>
    <w:rsid w:val="00DB4C55"/>
    <w:rsid w:val="00DB4ED1"/>
    <w:rsid w:val="00DB5090"/>
    <w:rsid w:val="00DB5299"/>
    <w:rsid w:val="00DB5F76"/>
    <w:rsid w:val="00DB6DBF"/>
    <w:rsid w:val="00DB7B1A"/>
    <w:rsid w:val="00DC02D8"/>
    <w:rsid w:val="00DC0CC8"/>
    <w:rsid w:val="00DC26E1"/>
    <w:rsid w:val="00DC30A5"/>
    <w:rsid w:val="00DD24A4"/>
    <w:rsid w:val="00DD3AD2"/>
    <w:rsid w:val="00DD6388"/>
    <w:rsid w:val="00DE0E28"/>
    <w:rsid w:val="00DE793E"/>
    <w:rsid w:val="00DF4878"/>
    <w:rsid w:val="00E06A60"/>
    <w:rsid w:val="00E079C7"/>
    <w:rsid w:val="00E13152"/>
    <w:rsid w:val="00E162FF"/>
    <w:rsid w:val="00E245F0"/>
    <w:rsid w:val="00E32A84"/>
    <w:rsid w:val="00E33A01"/>
    <w:rsid w:val="00E35659"/>
    <w:rsid w:val="00E36EC7"/>
    <w:rsid w:val="00E43C08"/>
    <w:rsid w:val="00E44D95"/>
    <w:rsid w:val="00E53B9D"/>
    <w:rsid w:val="00E54438"/>
    <w:rsid w:val="00E67E9D"/>
    <w:rsid w:val="00E7044E"/>
    <w:rsid w:val="00E71A0F"/>
    <w:rsid w:val="00E76979"/>
    <w:rsid w:val="00E91BDF"/>
    <w:rsid w:val="00EA6A51"/>
    <w:rsid w:val="00EB3815"/>
    <w:rsid w:val="00EB7EC8"/>
    <w:rsid w:val="00EC5FFA"/>
    <w:rsid w:val="00ED0081"/>
    <w:rsid w:val="00ED4F4E"/>
    <w:rsid w:val="00ED6238"/>
    <w:rsid w:val="00EE15F7"/>
    <w:rsid w:val="00EE422F"/>
    <w:rsid w:val="00EF1881"/>
    <w:rsid w:val="00F02D72"/>
    <w:rsid w:val="00F157C6"/>
    <w:rsid w:val="00F2327D"/>
    <w:rsid w:val="00F23A40"/>
    <w:rsid w:val="00F25498"/>
    <w:rsid w:val="00F3153E"/>
    <w:rsid w:val="00F35542"/>
    <w:rsid w:val="00F362BE"/>
    <w:rsid w:val="00F4199C"/>
    <w:rsid w:val="00F43721"/>
    <w:rsid w:val="00F470FD"/>
    <w:rsid w:val="00F51336"/>
    <w:rsid w:val="00F55C1E"/>
    <w:rsid w:val="00F56881"/>
    <w:rsid w:val="00F616EB"/>
    <w:rsid w:val="00F64D94"/>
    <w:rsid w:val="00F7409E"/>
    <w:rsid w:val="00F81C2B"/>
    <w:rsid w:val="00F822C5"/>
    <w:rsid w:val="00F83EE6"/>
    <w:rsid w:val="00F91D4E"/>
    <w:rsid w:val="00F94268"/>
    <w:rsid w:val="00FA227B"/>
    <w:rsid w:val="00FA6042"/>
    <w:rsid w:val="00FA60F2"/>
    <w:rsid w:val="00FB379E"/>
    <w:rsid w:val="00FC47F7"/>
    <w:rsid w:val="00FD365E"/>
    <w:rsid w:val="00FD5039"/>
    <w:rsid w:val="00FF4562"/>
    <w:rsid w:val="00FF4640"/>
    <w:rsid w:val="00FF6B89"/>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DE5A8"/>
  <w15:chartTrackingRefBased/>
  <w15:docId w15:val="{BC6B48FD-E098-4CB6-86C9-15EED6C0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4A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544F46"/>
    <w:pPr>
      <w:spacing w:after="0" w:line="240" w:lineRule="auto"/>
    </w:pPr>
  </w:style>
  <w:style w:type="paragraph" w:styleId="Header">
    <w:name w:val="header"/>
    <w:basedOn w:val="Normal"/>
    <w:link w:val="HeaderChar"/>
    <w:uiPriority w:val="99"/>
    <w:unhideWhenUsed/>
    <w:rsid w:val="0022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521"/>
  </w:style>
  <w:style w:type="paragraph" w:styleId="Footer">
    <w:name w:val="footer"/>
    <w:basedOn w:val="Normal"/>
    <w:link w:val="FooterChar"/>
    <w:uiPriority w:val="99"/>
    <w:unhideWhenUsed/>
    <w:rsid w:val="0022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521"/>
  </w:style>
  <w:style w:type="character" w:styleId="CommentReference">
    <w:name w:val="annotation reference"/>
    <w:basedOn w:val="DefaultParagraphFont"/>
    <w:uiPriority w:val="99"/>
    <w:semiHidden/>
    <w:unhideWhenUsed/>
    <w:rsid w:val="00DC30A5"/>
    <w:rPr>
      <w:sz w:val="16"/>
      <w:szCs w:val="16"/>
    </w:rPr>
  </w:style>
  <w:style w:type="paragraph" w:styleId="CommentText">
    <w:name w:val="annotation text"/>
    <w:basedOn w:val="Normal"/>
    <w:link w:val="CommentTextChar"/>
    <w:uiPriority w:val="99"/>
    <w:semiHidden/>
    <w:unhideWhenUsed/>
    <w:rsid w:val="00DC30A5"/>
    <w:pPr>
      <w:spacing w:line="240" w:lineRule="auto"/>
    </w:pPr>
    <w:rPr>
      <w:sz w:val="20"/>
      <w:szCs w:val="20"/>
    </w:rPr>
  </w:style>
  <w:style w:type="character" w:customStyle="1" w:styleId="CommentTextChar">
    <w:name w:val="Comment Text Char"/>
    <w:basedOn w:val="DefaultParagraphFont"/>
    <w:link w:val="CommentText"/>
    <w:uiPriority w:val="99"/>
    <w:semiHidden/>
    <w:rsid w:val="00DC30A5"/>
    <w:rPr>
      <w:sz w:val="20"/>
      <w:szCs w:val="20"/>
    </w:rPr>
  </w:style>
  <w:style w:type="paragraph" w:styleId="CommentSubject">
    <w:name w:val="annotation subject"/>
    <w:basedOn w:val="CommentText"/>
    <w:next w:val="CommentText"/>
    <w:link w:val="CommentSubjectChar"/>
    <w:uiPriority w:val="99"/>
    <w:semiHidden/>
    <w:unhideWhenUsed/>
    <w:rsid w:val="00DC30A5"/>
    <w:rPr>
      <w:b/>
      <w:bCs/>
    </w:rPr>
  </w:style>
  <w:style w:type="character" w:customStyle="1" w:styleId="CommentSubjectChar">
    <w:name w:val="Comment Subject Char"/>
    <w:basedOn w:val="CommentTextChar"/>
    <w:link w:val="CommentSubject"/>
    <w:uiPriority w:val="99"/>
    <w:semiHidden/>
    <w:rsid w:val="00DC3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3643">
      <w:bodyDiv w:val="1"/>
      <w:marLeft w:val="0"/>
      <w:marRight w:val="0"/>
      <w:marTop w:val="0"/>
      <w:marBottom w:val="0"/>
      <w:divBdr>
        <w:top w:val="none" w:sz="0" w:space="0" w:color="auto"/>
        <w:left w:val="none" w:sz="0" w:space="0" w:color="auto"/>
        <w:bottom w:val="none" w:sz="0" w:space="0" w:color="auto"/>
        <w:right w:val="none" w:sz="0" w:space="0" w:color="auto"/>
      </w:divBdr>
    </w:div>
    <w:div w:id="143551184">
      <w:bodyDiv w:val="1"/>
      <w:marLeft w:val="0"/>
      <w:marRight w:val="0"/>
      <w:marTop w:val="0"/>
      <w:marBottom w:val="0"/>
      <w:divBdr>
        <w:top w:val="none" w:sz="0" w:space="0" w:color="auto"/>
        <w:left w:val="none" w:sz="0" w:space="0" w:color="auto"/>
        <w:bottom w:val="none" w:sz="0" w:space="0" w:color="auto"/>
        <w:right w:val="none" w:sz="0" w:space="0" w:color="auto"/>
      </w:divBdr>
    </w:div>
    <w:div w:id="187917381">
      <w:bodyDiv w:val="1"/>
      <w:marLeft w:val="0"/>
      <w:marRight w:val="0"/>
      <w:marTop w:val="0"/>
      <w:marBottom w:val="0"/>
      <w:divBdr>
        <w:top w:val="none" w:sz="0" w:space="0" w:color="auto"/>
        <w:left w:val="none" w:sz="0" w:space="0" w:color="auto"/>
        <w:bottom w:val="none" w:sz="0" w:space="0" w:color="auto"/>
        <w:right w:val="none" w:sz="0" w:space="0" w:color="auto"/>
      </w:divBdr>
    </w:div>
    <w:div w:id="193229629">
      <w:bodyDiv w:val="1"/>
      <w:marLeft w:val="0"/>
      <w:marRight w:val="0"/>
      <w:marTop w:val="0"/>
      <w:marBottom w:val="0"/>
      <w:divBdr>
        <w:top w:val="none" w:sz="0" w:space="0" w:color="auto"/>
        <w:left w:val="none" w:sz="0" w:space="0" w:color="auto"/>
        <w:bottom w:val="none" w:sz="0" w:space="0" w:color="auto"/>
        <w:right w:val="none" w:sz="0" w:space="0" w:color="auto"/>
      </w:divBdr>
    </w:div>
    <w:div w:id="261691326">
      <w:bodyDiv w:val="1"/>
      <w:marLeft w:val="0"/>
      <w:marRight w:val="0"/>
      <w:marTop w:val="0"/>
      <w:marBottom w:val="0"/>
      <w:divBdr>
        <w:top w:val="none" w:sz="0" w:space="0" w:color="auto"/>
        <w:left w:val="none" w:sz="0" w:space="0" w:color="auto"/>
        <w:bottom w:val="none" w:sz="0" w:space="0" w:color="auto"/>
        <w:right w:val="none" w:sz="0" w:space="0" w:color="auto"/>
      </w:divBdr>
    </w:div>
    <w:div w:id="286393798">
      <w:bodyDiv w:val="1"/>
      <w:marLeft w:val="0"/>
      <w:marRight w:val="0"/>
      <w:marTop w:val="0"/>
      <w:marBottom w:val="0"/>
      <w:divBdr>
        <w:top w:val="none" w:sz="0" w:space="0" w:color="auto"/>
        <w:left w:val="none" w:sz="0" w:space="0" w:color="auto"/>
        <w:bottom w:val="none" w:sz="0" w:space="0" w:color="auto"/>
        <w:right w:val="none" w:sz="0" w:space="0" w:color="auto"/>
      </w:divBdr>
    </w:div>
    <w:div w:id="354189281">
      <w:bodyDiv w:val="1"/>
      <w:marLeft w:val="0"/>
      <w:marRight w:val="0"/>
      <w:marTop w:val="0"/>
      <w:marBottom w:val="0"/>
      <w:divBdr>
        <w:top w:val="none" w:sz="0" w:space="0" w:color="auto"/>
        <w:left w:val="none" w:sz="0" w:space="0" w:color="auto"/>
        <w:bottom w:val="none" w:sz="0" w:space="0" w:color="auto"/>
        <w:right w:val="none" w:sz="0" w:space="0" w:color="auto"/>
      </w:divBdr>
      <w:divsChild>
        <w:div w:id="194971499">
          <w:marLeft w:val="1027"/>
          <w:marRight w:val="0"/>
          <w:marTop w:val="0"/>
          <w:marBottom w:val="0"/>
          <w:divBdr>
            <w:top w:val="none" w:sz="0" w:space="0" w:color="auto"/>
            <w:left w:val="none" w:sz="0" w:space="0" w:color="auto"/>
            <w:bottom w:val="none" w:sz="0" w:space="0" w:color="auto"/>
            <w:right w:val="none" w:sz="0" w:space="0" w:color="auto"/>
          </w:divBdr>
        </w:div>
        <w:div w:id="1053047132">
          <w:marLeft w:val="1027"/>
          <w:marRight w:val="0"/>
          <w:marTop w:val="0"/>
          <w:marBottom w:val="0"/>
          <w:divBdr>
            <w:top w:val="none" w:sz="0" w:space="0" w:color="auto"/>
            <w:left w:val="none" w:sz="0" w:space="0" w:color="auto"/>
            <w:bottom w:val="none" w:sz="0" w:space="0" w:color="auto"/>
            <w:right w:val="none" w:sz="0" w:space="0" w:color="auto"/>
          </w:divBdr>
        </w:div>
        <w:div w:id="430979924">
          <w:marLeft w:val="1027"/>
          <w:marRight w:val="0"/>
          <w:marTop w:val="0"/>
          <w:marBottom w:val="0"/>
          <w:divBdr>
            <w:top w:val="none" w:sz="0" w:space="0" w:color="auto"/>
            <w:left w:val="none" w:sz="0" w:space="0" w:color="auto"/>
            <w:bottom w:val="none" w:sz="0" w:space="0" w:color="auto"/>
            <w:right w:val="none" w:sz="0" w:space="0" w:color="auto"/>
          </w:divBdr>
        </w:div>
      </w:divsChild>
    </w:div>
    <w:div w:id="357894324">
      <w:bodyDiv w:val="1"/>
      <w:marLeft w:val="0"/>
      <w:marRight w:val="0"/>
      <w:marTop w:val="0"/>
      <w:marBottom w:val="0"/>
      <w:divBdr>
        <w:top w:val="none" w:sz="0" w:space="0" w:color="auto"/>
        <w:left w:val="none" w:sz="0" w:space="0" w:color="auto"/>
        <w:bottom w:val="none" w:sz="0" w:space="0" w:color="auto"/>
        <w:right w:val="none" w:sz="0" w:space="0" w:color="auto"/>
      </w:divBdr>
    </w:div>
    <w:div w:id="373893804">
      <w:bodyDiv w:val="1"/>
      <w:marLeft w:val="0"/>
      <w:marRight w:val="0"/>
      <w:marTop w:val="0"/>
      <w:marBottom w:val="0"/>
      <w:divBdr>
        <w:top w:val="none" w:sz="0" w:space="0" w:color="auto"/>
        <w:left w:val="none" w:sz="0" w:space="0" w:color="auto"/>
        <w:bottom w:val="none" w:sz="0" w:space="0" w:color="auto"/>
        <w:right w:val="none" w:sz="0" w:space="0" w:color="auto"/>
      </w:divBdr>
      <w:divsChild>
        <w:div w:id="437412882">
          <w:marLeft w:val="1027"/>
          <w:marRight w:val="0"/>
          <w:marTop w:val="0"/>
          <w:marBottom w:val="0"/>
          <w:divBdr>
            <w:top w:val="none" w:sz="0" w:space="0" w:color="auto"/>
            <w:left w:val="none" w:sz="0" w:space="0" w:color="auto"/>
            <w:bottom w:val="none" w:sz="0" w:space="0" w:color="auto"/>
            <w:right w:val="none" w:sz="0" w:space="0" w:color="auto"/>
          </w:divBdr>
        </w:div>
        <w:div w:id="1720663418">
          <w:marLeft w:val="1027"/>
          <w:marRight w:val="0"/>
          <w:marTop w:val="0"/>
          <w:marBottom w:val="0"/>
          <w:divBdr>
            <w:top w:val="none" w:sz="0" w:space="0" w:color="auto"/>
            <w:left w:val="none" w:sz="0" w:space="0" w:color="auto"/>
            <w:bottom w:val="none" w:sz="0" w:space="0" w:color="auto"/>
            <w:right w:val="none" w:sz="0" w:space="0" w:color="auto"/>
          </w:divBdr>
        </w:div>
      </w:divsChild>
    </w:div>
    <w:div w:id="382021896">
      <w:bodyDiv w:val="1"/>
      <w:marLeft w:val="0"/>
      <w:marRight w:val="0"/>
      <w:marTop w:val="0"/>
      <w:marBottom w:val="0"/>
      <w:divBdr>
        <w:top w:val="none" w:sz="0" w:space="0" w:color="auto"/>
        <w:left w:val="none" w:sz="0" w:space="0" w:color="auto"/>
        <w:bottom w:val="none" w:sz="0" w:space="0" w:color="auto"/>
        <w:right w:val="none" w:sz="0" w:space="0" w:color="auto"/>
      </w:divBdr>
      <w:divsChild>
        <w:div w:id="1808232673">
          <w:marLeft w:val="1027"/>
          <w:marRight w:val="0"/>
          <w:marTop w:val="0"/>
          <w:marBottom w:val="0"/>
          <w:divBdr>
            <w:top w:val="none" w:sz="0" w:space="0" w:color="auto"/>
            <w:left w:val="none" w:sz="0" w:space="0" w:color="auto"/>
            <w:bottom w:val="none" w:sz="0" w:space="0" w:color="auto"/>
            <w:right w:val="none" w:sz="0" w:space="0" w:color="auto"/>
          </w:divBdr>
        </w:div>
      </w:divsChild>
    </w:div>
    <w:div w:id="420102440">
      <w:bodyDiv w:val="1"/>
      <w:marLeft w:val="0"/>
      <w:marRight w:val="0"/>
      <w:marTop w:val="0"/>
      <w:marBottom w:val="0"/>
      <w:divBdr>
        <w:top w:val="none" w:sz="0" w:space="0" w:color="auto"/>
        <w:left w:val="none" w:sz="0" w:space="0" w:color="auto"/>
        <w:bottom w:val="none" w:sz="0" w:space="0" w:color="auto"/>
        <w:right w:val="none" w:sz="0" w:space="0" w:color="auto"/>
      </w:divBdr>
    </w:div>
    <w:div w:id="425729474">
      <w:bodyDiv w:val="1"/>
      <w:marLeft w:val="0"/>
      <w:marRight w:val="0"/>
      <w:marTop w:val="0"/>
      <w:marBottom w:val="0"/>
      <w:divBdr>
        <w:top w:val="none" w:sz="0" w:space="0" w:color="auto"/>
        <w:left w:val="none" w:sz="0" w:space="0" w:color="auto"/>
        <w:bottom w:val="none" w:sz="0" w:space="0" w:color="auto"/>
        <w:right w:val="none" w:sz="0" w:space="0" w:color="auto"/>
      </w:divBdr>
    </w:div>
    <w:div w:id="426733308">
      <w:bodyDiv w:val="1"/>
      <w:marLeft w:val="0"/>
      <w:marRight w:val="0"/>
      <w:marTop w:val="0"/>
      <w:marBottom w:val="0"/>
      <w:divBdr>
        <w:top w:val="none" w:sz="0" w:space="0" w:color="auto"/>
        <w:left w:val="none" w:sz="0" w:space="0" w:color="auto"/>
        <w:bottom w:val="none" w:sz="0" w:space="0" w:color="auto"/>
        <w:right w:val="none" w:sz="0" w:space="0" w:color="auto"/>
      </w:divBdr>
    </w:div>
    <w:div w:id="432015631">
      <w:bodyDiv w:val="1"/>
      <w:marLeft w:val="0"/>
      <w:marRight w:val="0"/>
      <w:marTop w:val="0"/>
      <w:marBottom w:val="0"/>
      <w:divBdr>
        <w:top w:val="none" w:sz="0" w:space="0" w:color="auto"/>
        <w:left w:val="none" w:sz="0" w:space="0" w:color="auto"/>
        <w:bottom w:val="none" w:sz="0" w:space="0" w:color="auto"/>
        <w:right w:val="none" w:sz="0" w:space="0" w:color="auto"/>
      </w:divBdr>
    </w:div>
    <w:div w:id="469829324">
      <w:bodyDiv w:val="1"/>
      <w:marLeft w:val="0"/>
      <w:marRight w:val="0"/>
      <w:marTop w:val="0"/>
      <w:marBottom w:val="0"/>
      <w:divBdr>
        <w:top w:val="none" w:sz="0" w:space="0" w:color="auto"/>
        <w:left w:val="none" w:sz="0" w:space="0" w:color="auto"/>
        <w:bottom w:val="none" w:sz="0" w:space="0" w:color="auto"/>
        <w:right w:val="none" w:sz="0" w:space="0" w:color="auto"/>
      </w:divBdr>
    </w:div>
    <w:div w:id="488251777">
      <w:bodyDiv w:val="1"/>
      <w:marLeft w:val="0"/>
      <w:marRight w:val="0"/>
      <w:marTop w:val="0"/>
      <w:marBottom w:val="0"/>
      <w:divBdr>
        <w:top w:val="none" w:sz="0" w:space="0" w:color="auto"/>
        <w:left w:val="none" w:sz="0" w:space="0" w:color="auto"/>
        <w:bottom w:val="none" w:sz="0" w:space="0" w:color="auto"/>
        <w:right w:val="none" w:sz="0" w:space="0" w:color="auto"/>
      </w:divBdr>
      <w:divsChild>
        <w:div w:id="1522165107">
          <w:marLeft w:val="1032"/>
          <w:marRight w:val="0"/>
          <w:marTop w:val="0"/>
          <w:marBottom w:val="0"/>
          <w:divBdr>
            <w:top w:val="none" w:sz="0" w:space="0" w:color="auto"/>
            <w:left w:val="none" w:sz="0" w:space="0" w:color="auto"/>
            <w:bottom w:val="none" w:sz="0" w:space="0" w:color="auto"/>
            <w:right w:val="none" w:sz="0" w:space="0" w:color="auto"/>
          </w:divBdr>
        </w:div>
      </w:divsChild>
    </w:div>
    <w:div w:id="489634600">
      <w:bodyDiv w:val="1"/>
      <w:marLeft w:val="0"/>
      <w:marRight w:val="0"/>
      <w:marTop w:val="0"/>
      <w:marBottom w:val="0"/>
      <w:divBdr>
        <w:top w:val="none" w:sz="0" w:space="0" w:color="auto"/>
        <w:left w:val="none" w:sz="0" w:space="0" w:color="auto"/>
        <w:bottom w:val="none" w:sz="0" w:space="0" w:color="auto"/>
        <w:right w:val="none" w:sz="0" w:space="0" w:color="auto"/>
      </w:divBdr>
    </w:div>
    <w:div w:id="523708444">
      <w:bodyDiv w:val="1"/>
      <w:marLeft w:val="0"/>
      <w:marRight w:val="0"/>
      <w:marTop w:val="0"/>
      <w:marBottom w:val="0"/>
      <w:divBdr>
        <w:top w:val="none" w:sz="0" w:space="0" w:color="auto"/>
        <w:left w:val="none" w:sz="0" w:space="0" w:color="auto"/>
        <w:bottom w:val="none" w:sz="0" w:space="0" w:color="auto"/>
        <w:right w:val="none" w:sz="0" w:space="0" w:color="auto"/>
      </w:divBdr>
    </w:div>
    <w:div w:id="529799518">
      <w:bodyDiv w:val="1"/>
      <w:marLeft w:val="0"/>
      <w:marRight w:val="0"/>
      <w:marTop w:val="0"/>
      <w:marBottom w:val="0"/>
      <w:divBdr>
        <w:top w:val="none" w:sz="0" w:space="0" w:color="auto"/>
        <w:left w:val="none" w:sz="0" w:space="0" w:color="auto"/>
        <w:bottom w:val="none" w:sz="0" w:space="0" w:color="auto"/>
        <w:right w:val="none" w:sz="0" w:space="0" w:color="auto"/>
      </w:divBdr>
    </w:div>
    <w:div w:id="534467585">
      <w:bodyDiv w:val="1"/>
      <w:marLeft w:val="0"/>
      <w:marRight w:val="0"/>
      <w:marTop w:val="0"/>
      <w:marBottom w:val="0"/>
      <w:divBdr>
        <w:top w:val="none" w:sz="0" w:space="0" w:color="auto"/>
        <w:left w:val="none" w:sz="0" w:space="0" w:color="auto"/>
        <w:bottom w:val="none" w:sz="0" w:space="0" w:color="auto"/>
        <w:right w:val="none" w:sz="0" w:space="0" w:color="auto"/>
      </w:divBdr>
    </w:div>
    <w:div w:id="565340808">
      <w:bodyDiv w:val="1"/>
      <w:marLeft w:val="0"/>
      <w:marRight w:val="0"/>
      <w:marTop w:val="0"/>
      <w:marBottom w:val="0"/>
      <w:divBdr>
        <w:top w:val="none" w:sz="0" w:space="0" w:color="auto"/>
        <w:left w:val="none" w:sz="0" w:space="0" w:color="auto"/>
        <w:bottom w:val="none" w:sz="0" w:space="0" w:color="auto"/>
        <w:right w:val="none" w:sz="0" w:space="0" w:color="auto"/>
      </w:divBdr>
    </w:div>
    <w:div w:id="572589749">
      <w:bodyDiv w:val="1"/>
      <w:marLeft w:val="0"/>
      <w:marRight w:val="0"/>
      <w:marTop w:val="0"/>
      <w:marBottom w:val="0"/>
      <w:divBdr>
        <w:top w:val="none" w:sz="0" w:space="0" w:color="auto"/>
        <w:left w:val="none" w:sz="0" w:space="0" w:color="auto"/>
        <w:bottom w:val="none" w:sz="0" w:space="0" w:color="auto"/>
        <w:right w:val="none" w:sz="0" w:space="0" w:color="auto"/>
      </w:divBdr>
    </w:div>
    <w:div w:id="585385695">
      <w:bodyDiv w:val="1"/>
      <w:marLeft w:val="0"/>
      <w:marRight w:val="0"/>
      <w:marTop w:val="0"/>
      <w:marBottom w:val="0"/>
      <w:divBdr>
        <w:top w:val="none" w:sz="0" w:space="0" w:color="auto"/>
        <w:left w:val="none" w:sz="0" w:space="0" w:color="auto"/>
        <w:bottom w:val="none" w:sz="0" w:space="0" w:color="auto"/>
        <w:right w:val="none" w:sz="0" w:space="0" w:color="auto"/>
      </w:divBdr>
    </w:div>
    <w:div w:id="610357588">
      <w:bodyDiv w:val="1"/>
      <w:marLeft w:val="0"/>
      <w:marRight w:val="0"/>
      <w:marTop w:val="0"/>
      <w:marBottom w:val="0"/>
      <w:divBdr>
        <w:top w:val="none" w:sz="0" w:space="0" w:color="auto"/>
        <w:left w:val="none" w:sz="0" w:space="0" w:color="auto"/>
        <w:bottom w:val="none" w:sz="0" w:space="0" w:color="auto"/>
        <w:right w:val="none" w:sz="0" w:space="0" w:color="auto"/>
      </w:divBdr>
    </w:div>
    <w:div w:id="625161135">
      <w:bodyDiv w:val="1"/>
      <w:marLeft w:val="0"/>
      <w:marRight w:val="0"/>
      <w:marTop w:val="0"/>
      <w:marBottom w:val="0"/>
      <w:divBdr>
        <w:top w:val="none" w:sz="0" w:space="0" w:color="auto"/>
        <w:left w:val="none" w:sz="0" w:space="0" w:color="auto"/>
        <w:bottom w:val="none" w:sz="0" w:space="0" w:color="auto"/>
        <w:right w:val="none" w:sz="0" w:space="0" w:color="auto"/>
      </w:divBdr>
    </w:div>
    <w:div w:id="631594436">
      <w:bodyDiv w:val="1"/>
      <w:marLeft w:val="0"/>
      <w:marRight w:val="0"/>
      <w:marTop w:val="0"/>
      <w:marBottom w:val="0"/>
      <w:divBdr>
        <w:top w:val="none" w:sz="0" w:space="0" w:color="auto"/>
        <w:left w:val="none" w:sz="0" w:space="0" w:color="auto"/>
        <w:bottom w:val="none" w:sz="0" w:space="0" w:color="auto"/>
        <w:right w:val="none" w:sz="0" w:space="0" w:color="auto"/>
      </w:divBdr>
    </w:div>
    <w:div w:id="632100582">
      <w:bodyDiv w:val="1"/>
      <w:marLeft w:val="0"/>
      <w:marRight w:val="0"/>
      <w:marTop w:val="0"/>
      <w:marBottom w:val="0"/>
      <w:divBdr>
        <w:top w:val="none" w:sz="0" w:space="0" w:color="auto"/>
        <w:left w:val="none" w:sz="0" w:space="0" w:color="auto"/>
        <w:bottom w:val="none" w:sz="0" w:space="0" w:color="auto"/>
        <w:right w:val="none" w:sz="0" w:space="0" w:color="auto"/>
      </w:divBdr>
    </w:div>
    <w:div w:id="708145481">
      <w:bodyDiv w:val="1"/>
      <w:marLeft w:val="0"/>
      <w:marRight w:val="0"/>
      <w:marTop w:val="0"/>
      <w:marBottom w:val="0"/>
      <w:divBdr>
        <w:top w:val="none" w:sz="0" w:space="0" w:color="auto"/>
        <w:left w:val="none" w:sz="0" w:space="0" w:color="auto"/>
        <w:bottom w:val="none" w:sz="0" w:space="0" w:color="auto"/>
        <w:right w:val="none" w:sz="0" w:space="0" w:color="auto"/>
      </w:divBdr>
    </w:div>
    <w:div w:id="715813469">
      <w:bodyDiv w:val="1"/>
      <w:marLeft w:val="0"/>
      <w:marRight w:val="0"/>
      <w:marTop w:val="0"/>
      <w:marBottom w:val="0"/>
      <w:divBdr>
        <w:top w:val="none" w:sz="0" w:space="0" w:color="auto"/>
        <w:left w:val="none" w:sz="0" w:space="0" w:color="auto"/>
        <w:bottom w:val="none" w:sz="0" w:space="0" w:color="auto"/>
        <w:right w:val="none" w:sz="0" w:space="0" w:color="auto"/>
      </w:divBdr>
      <w:divsChild>
        <w:div w:id="717781278">
          <w:marLeft w:val="1027"/>
          <w:marRight w:val="0"/>
          <w:marTop w:val="0"/>
          <w:marBottom w:val="0"/>
          <w:divBdr>
            <w:top w:val="none" w:sz="0" w:space="0" w:color="auto"/>
            <w:left w:val="none" w:sz="0" w:space="0" w:color="auto"/>
            <w:bottom w:val="none" w:sz="0" w:space="0" w:color="auto"/>
            <w:right w:val="none" w:sz="0" w:space="0" w:color="auto"/>
          </w:divBdr>
        </w:div>
      </w:divsChild>
    </w:div>
    <w:div w:id="717820046">
      <w:bodyDiv w:val="1"/>
      <w:marLeft w:val="0"/>
      <w:marRight w:val="0"/>
      <w:marTop w:val="0"/>
      <w:marBottom w:val="0"/>
      <w:divBdr>
        <w:top w:val="none" w:sz="0" w:space="0" w:color="auto"/>
        <w:left w:val="none" w:sz="0" w:space="0" w:color="auto"/>
        <w:bottom w:val="none" w:sz="0" w:space="0" w:color="auto"/>
        <w:right w:val="none" w:sz="0" w:space="0" w:color="auto"/>
      </w:divBdr>
    </w:div>
    <w:div w:id="724378158">
      <w:bodyDiv w:val="1"/>
      <w:marLeft w:val="0"/>
      <w:marRight w:val="0"/>
      <w:marTop w:val="0"/>
      <w:marBottom w:val="0"/>
      <w:divBdr>
        <w:top w:val="none" w:sz="0" w:space="0" w:color="auto"/>
        <w:left w:val="none" w:sz="0" w:space="0" w:color="auto"/>
        <w:bottom w:val="none" w:sz="0" w:space="0" w:color="auto"/>
        <w:right w:val="none" w:sz="0" w:space="0" w:color="auto"/>
      </w:divBdr>
    </w:div>
    <w:div w:id="756248657">
      <w:bodyDiv w:val="1"/>
      <w:marLeft w:val="0"/>
      <w:marRight w:val="0"/>
      <w:marTop w:val="0"/>
      <w:marBottom w:val="0"/>
      <w:divBdr>
        <w:top w:val="none" w:sz="0" w:space="0" w:color="auto"/>
        <w:left w:val="none" w:sz="0" w:space="0" w:color="auto"/>
        <w:bottom w:val="none" w:sz="0" w:space="0" w:color="auto"/>
        <w:right w:val="none" w:sz="0" w:space="0" w:color="auto"/>
      </w:divBdr>
    </w:div>
    <w:div w:id="759132917">
      <w:bodyDiv w:val="1"/>
      <w:marLeft w:val="0"/>
      <w:marRight w:val="0"/>
      <w:marTop w:val="0"/>
      <w:marBottom w:val="0"/>
      <w:divBdr>
        <w:top w:val="none" w:sz="0" w:space="0" w:color="auto"/>
        <w:left w:val="none" w:sz="0" w:space="0" w:color="auto"/>
        <w:bottom w:val="none" w:sz="0" w:space="0" w:color="auto"/>
        <w:right w:val="none" w:sz="0" w:space="0" w:color="auto"/>
      </w:divBdr>
    </w:div>
    <w:div w:id="760640997">
      <w:bodyDiv w:val="1"/>
      <w:marLeft w:val="0"/>
      <w:marRight w:val="0"/>
      <w:marTop w:val="0"/>
      <w:marBottom w:val="0"/>
      <w:divBdr>
        <w:top w:val="none" w:sz="0" w:space="0" w:color="auto"/>
        <w:left w:val="none" w:sz="0" w:space="0" w:color="auto"/>
        <w:bottom w:val="none" w:sz="0" w:space="0" w:color="auto"/>
        <w:right w:val="none" w:sz="0" w:space="0" w:color="auto"/>
      </w:divBdr>
    </w:div>
    <w:div w:id="772165644">
      <w:bodyDiv w:val="1"/>
      <w:marLeft w:val="0"/>
      <w:marRight w:val="0"/>
      <w:marTop w:val="0"/>
      <w:marBottom w:val="0"/>
      <w:divBdr>
        <w:top w:val="none" w:sz="0" w:space="0" w:color="auto"/>
        <w:left w:val="none" w:sz="0" w:space="0" w:color="auto"/>
        <w:bottom w:val="none" w:sz="0" w:space="0" w:color="auto"/>
        <w:right w:val="none" w:sz="0" w:space="0" w:color="auto"/>
      </w:divBdr>
      <w:divsChild>
        <w:div w:id="851261167">
          <w:marLeft w:val="1027"/>
          <w:marRight w:val="0"/>
          <w:marTop w:val="0"/>
          <w:marBottom w:val="0"/>
          <w:divBdr>
            <w:top w:val="none" w:sz="0" w:space="0" w:color="auto"/>
            <w:left w:val="none" w:sz="0" w:space="0" w:color="auto"/>
            <w:bottom w:val="none" w:sz="0" w:space="0" w:color="auto"/>
            <w:right w:val="none" w:sz="0" w:space="0" w:color="auto"/>
          </w:divBdr>
        </w:div>
        <w:div w:id="921262478">
          <w:marLeft w:val="1027"/>
          <w:marRight w:val="0"/>
          <w:marTop w:val="0"/>
          <w:marBottom w:val="0"/>
          <w:divBdr>
            <w:top w:val="none" w:sz="0" w:space="0" w:color="auto"/>
            <w:left w:val="none" w:sz="0" w:space="0" w:color="auto"/>
            <w:bottom w:val="none" w:sz="0" w:space="0" w:color="auto"/>
            <w:right w:val="none" w:sz="0" w:space="0" w:color="auto"/>
          </w:divBdr>
        </w:div>
      </w:divsChild>
    </w:div>
    <w:div w:id="803159465">
      <w:bodyDiv w:val="1"/>
      <w:marLeft w:val="0"/>
      <w:marRight w:val="0"/>
      <w:marTop w:val="0"/>
      <w:marBottom w:val="0"/>
      <w:divBdr>
        <w:top w:val="none" w:sz="0" w:space="0" w:color="auto"/>
        <w:left w:val="none" w:sz="0" w:space="0" w:color="auto"/>
        <w:bottom w:val="none" w:sz="0" w:space="0" w:color="auto"/>
        <w:right w:val="none" w:sz="0" w:space="0" w:color="auto"/>
      </w:divBdr>
    </w:div>
    <w:div w:id="805010917">
      <w:bodyDiv w:val="1"/>
      <w:marLeft w:val="0"/>
      <w:marRight w:val="0"/>
      <w:marTop w:val="0"/>
      <w:marBottom w:val="0"/>
      <w:divBdr>
        <w:top w:val="none" w:sz="0" w:space="0" w:color="auto"/>
        <w:left w:val="none" w:sz="0" w:space="0" w:color="auto"/>
        <w:bottom w:val="none" w:sz="0" w:space="0" w:color="auto"/>
        <w:right w:val="none" w:sz="0" w:space="0" w:color="auto"/>
      </w:divBdr>
      <w:divsChild>
        <w:div w:id="897281863">
          <w:marLeft w:val="1027"/>
          <w:marRight w:val="0"/>
          <w:marTop w:val="0"/>
          <w:marBottom w:val="0"/>
          <w:divBdr>
            <w:top w:val="none" w:sz="0" w:space="0" w:color="auto"/>
            <w:left w:val="none" w:sz="0" w:space="0" w:color="auto"/>
            <w:bottom w:val="none" w:sz="0" w:space="0" w:color="auto"/>
            <w:right w:val="none" w:sz="0" w:space="0" w:color="auto"/>
          </w:divBdr>
        </w:div>
      </w:divsChild>
    </w:div>
    <w:div w:id="809327738">
      <w:bodyDiv w:val="1"/>
      <w:marLeft w:val="0"/>
      <w:marRight w:val="0"/>
      <w:marTop w:val="0"/>
      <w:marBottom w:val="0"/>
      <w:divBdr>
        <w:top w:val="none" w:sz="0" w:space="0" w:color="auto"/>
        <w:left w:val="none" w:sz="0" w:space="0" w:color="auto"/>
        <w:bottom w:val="none" w:sz="0" w:space="0" w:color="auto"/>
        <w:right w:val="none" w:sz="0" w:space="0" w:color="auto"/>
      </w:divBdr>
    </w:div>
    <w:div w:id="820851263">
      <w:bodyDiv w:val="1"/>
      <w:marLeft w:val="0"/>
      <w:marRight w:val="0"/>
      <w:marTop w:val="0"/>
      <w:marBottom w:val="0"/>
      <w:divBdr>
        <w:top w:val="none" w:sz="0" w:space="0" w:color="auto"/>
        <w:left w:val="none" w:sz="0" w:space="0" w:color="auto"/>
        <w:bottom w:val="none" w:sz="0" w:space="0" w:color="auto"/>
        <w:right w:val="none" w:sz="0" w:space="0" w:color="auto"/>
      </w:divBdr>
      <w:divsChild>
        <w:div w:id="1303846358">
          <w:marLeft w:val="1029"/>
          <w:marRight w:val="0"/>
          <w:marTop w:val="0"/>
          <w:marBottom w:val="0"/>
          <w:divBdr>
            <w:top w:val="none" w:sz="0" w:space="0" w:color="auto"/>
            <w:left w:val="none" w:sz="0" w:space="0" w:color="auto"/>
            <w:bottom w:val="none" w:sz="0" w:space="0" w:color="auto"/>
            <w:right w:val="none" w:sz="0" w:space="0" w:color="auto"/>
          </w:divBdr>
        </w:div>
      </w:divsChild>
    </w:div>
    <w:div w:id="852649852">
      <w:bodyDiv w:val="1"/>
      <w:marLeft w:val="0"/>
      <w:marRight w:val="0"/>
      <w:marTop w:val="0"/>
      <w:marBottom w:val="0"/>
      <w:divBdr>
        <w:top w:val="none" w:sz="0" w:space="0" w:color="auto"/>
        <w:left w:val="none" w:sz="0" w:space="0" w:color="auto"/>
        <w:bottom w:val="none" w:sz="0" w:space="0" w:color="auto"/>
        <w:right w:val="none" w:sz="0" w:space="0" w:color="auto"/>
      </w:divBdr>
    </w:div>
    <w:div w:id="853835747">
      <w:bodyDiv w:val="1"/>
      <w:marLeft w:val="0"/>
      <w:marRight w:val="0"/>
      <w:marTop w:val="0"/>
      <w:marBottom w:val="0"/>
      <w:divBdr>
        <w:top w:val="none" w:sz="0" w:space="0" w:color="auto"/>
        <w:left w:val="none" w:sz="0" w:space="0" w:color="auto"/>
        <w:bottom w:val="none" w:sz="0" w:space="0" w:color="auto"/>
        <w:right w:val="none" w:sz="0" w:space="0" w:color="auto"/>
      </w:divBdr>
    </w:div>
    <w:div w:id="868907915">
      <w:bodyDiv w:val="1"/>
      <w:marLeft w:val="0"/>
      <w:marRight w:val="0"/>
      <w:marTop w:val="0"/>
      <w:marBottom w:val="0"/>
      <w:divBdr>
        <w:top w:val="none" w:sz="0" w:space="0" w:color="auto"/>
        <w:left w:val="none" w:sz="0" w:space="0" w:color="auto"/>
        <w:bottom w:val="none" w:sz="0" w:space="0" w:color="auto"/>
        <w:right w:val="none" w:sz="0" w:space="0" w:color="auto"/>
      </w:divBdr>
    </w:div>
    <w:div w:id="892428526">
      <w:bodyDiv w:val="1"/>
      <w:marLeft w:val="0"/>
      <w:marRight w:val="0"/>
      <w:marTop w:val="0"/>
      <w:marBottom w:val="0"/>
      <w:divBdr>
        <w:top w:val="none" w:sz="0" w:space="0" w:color="auto"/>
        <w:left w:val="none" w:sz="0" w:space="0" w:color="auto"/>
        <w:bottom w:val="none" w:sz="0" w:space="0" w:color="auto"/>
        <w:right w:val="none" w:sz="0" w:space="0" w:color="auto"/>
      </w:divBdr>
    </w:div>
    <w:div w:id="915434784">
      <w:bodyDiv w:val="1"/>
      <w:marLeft w:val="0"/>
      <w:marRight w:val="0"/>
      <w:marTop w:val="0"/>
      <w:marBottom w:val="0"/>
      <w:divBdr>
        <w:top w:val="none" w:sz="0" w:space="0" w:color="auto"/>
        <w:left w:val="none" w:sz="0" w:space="0" w:color="auto"/>
        <w:bottom w:val="none" w:sz="0" w:space="0" w:color="auto"/>
        <w:right w:val="none" w:sz="0" w:space="0" w:color="auto"/>
      </w:divBdr>
      <w:divsChild>
        <w:div w:id="414979031">
          <w:marLeft w:val="1027"/>
          <w:marRight w:val="0"/>
          <w:marTop w:val="0"/>
          <w:marBottom w:val="0"/>
          <w:divBdr>
            <w:top w:val="none" w:sz="0" w:space="0" w:color="auto"/>
            <w:left w:val="none" w:sz="0" w:space="0" w:color="auto"/>
            <w:bottom w:val="none" w:sz="0" w:space="0" w:color="auto"/>
            <w:right w:val="none" w:sz="0" w:space="0" w:color="auto"/>
          </w:divBdr>
        </w:div>
      </w:divsChild>
    </w:div>
    <w:div w:id="918950056">
      <w:bodyDiv w:val="1"/>
      <w:marLeft w:val="0"/>
      <w:marRight w:val="0"/>
      <w:marTop w:val="0"/>
      <w:marBottom w:val="0"/>
      <w:divBdr>
        <w:top w:val="none" w:sz="0" w:space="0" w:color="auto"/>
        <w:left w:val="none" w:sz="0" w:space="0" w:color="auto"/>
        <w:bottom w:val="none" w:sz="0" w:space="0" w:color="auto"/>
        <w:right w:val="none" w:sz="0" w:space="0" w:color="auto"/>
      </w:divBdr>
    </w:div>
    <w:div w:id="919169411">
      <w:bodyDiv w:val="1"/>
      <w:marLeft w:val="0"/>
      <w:marRight w:val="0"/>
      <w:marTop w:val="0"/>
      <w:marBottom w:val="0"/>
      <w:divBdr>
        <w:top w:val="none" w:sz="0" w:space="0" w:color="auto"/>
        <w:left w:val="none" w:sz="0" w:space="0" w:color="auto"/>
        <w:bottom w:val="none" w:sz="0" w:space="0" w:color="auto"/>
        <w:right w:val="none" w:sz="0" w:space="0" w:color="auto"/>
      </w:divBdr>
    </w:div>
    <w:div w:id="941449897">
      <w:bodyDiv w:val="1"/>
      <w:marLeft w:val="0"/>
      <w:marRight w:val="0"/>
      <w:marTop w:val="0"/>
      <w:marBottom w:val="0"/>
      <w:divBdr>
        <w:top w:val="none" w:sz="0" w:space="0" w:color="auto"/>
        <w:left w:val="none" w:sz="0" w:space="0" w:color="auto"/>
        <w:bottom w:val="none" w:sz="0" w:space="0" w:color="auto"/>
        <w:right w:val="none" w:sz="0" w:space="0" w:color="auto"/>
      </w:divBdr>
      <w:divsChild>
        <w:div w:id="1978603136">
          <w:marLeft w:val="1027"/>
          <w:marRight w:val="0"/>
          <w:marTop w:val="0"/>
          <w:marBottom w:val="0"/>
          <w:divBdr>
            <w:top w:val="none" w:sz="0" w:space="0" w:color="auto"/>
            <w:left w:val="none" w:sz="0" w:space="0" w:color="auto"/>
            <w:bottom w:val="none" w:sz="0" w:space="0" w:color="auto"/>
            <w:right w:val="none" w:sz="0" w:space="0" w:color="auto"/>
          </w:divBdr>
        </w:div>
      </w:divsChild>
    </w:div>
    <w:div w:id="962422037">
      <w:bodyDiv w:val="1"/>
      <w:marLeft w:val="0"/>
      <w:marRight w:val="0"/>
      <w:marTop w:val="0"/>
      <w:marBottom w:val="0"/>
      <w:divBdr>
        <w:top w:val="none" w:sz="0" w:space="0" w:color="auto"/>
        <w:left w:val="none" w:sz="0" w:space="0" w:color="auto"/>
        <w:bottom w:val="none" w:sz="0" w:space="0" w:color="auto"/>
        <w:right w:val="none" w:sz="0" w:space="0" w:color="auto"/>
      </w:divBdr>
    </w:div>
    <w:div w:id="979261418">
      <w:bodyDiv w:val="1"/>
      <w:marLeft w:val="0"/>
      <w:marRight w:val="0"/>
      <w:marTop w:val="0"/>
      <w:marBottom w:val="0"/>
      <w:divBdr>
        <w:top w:val="none" w:sz="0" w:space="0" w:color="auto"/>
        <w:left w:val="none" w:sz="0" w:space="0" w:color="auto"/>
        <w:bottom w:val="none" w:sz="0" w:space="0" w:color="auto"/>
        <w:right w:val="none" w:sz="0" w:space="0" w:color="auto"/>
      </w:divBdr>
    </w:div>
    <w:div w:id="999384842">
      <w:bodyDiv w:val="1"/>
      <w:marLeft w:val="0"/>
      <w:marRight w:val="0"/>
      <w:marTop w:val="0"/>
      <w:marBottom w:val="0"/>
      <w:divBdr>
        <w:top w:val="none" w:sz="0" w:space="0" w:color="auto"/>
        <w:left w:val="none" w:sz="0" w:space="0" w:color="auto"/>
        <w:bottom w:val="none" w:sz="0" w:space="0" w:color="auto"/>
        <w:right w:val="none" w:sz="0" w:space="0" w:color="auto"/>
      </w:divBdr>
      <w:divsChild>
        <w:div w:id="443110337">
          <w:marLeft w:val="1027"/>
          <w:marRight w:val="0"/>
          <w:marTop w:val="0"/>
          <w:marBottom w:val="0"/>
          <w:divBdr>
            <w:top w:val="none" w:sz="0" w:space="0" w:color="auto"/>
            <w:left w:val="none" w:sz="0" w:space="0" w:color="auto"/>
            <w:bottom w:val="none" w:sz="0" w:space="0" w:color="auto"/>
            <w:right w:val="none" w:sz="0" w:space="0" w:color="auto"/>
          </w:divBdr>
        </w:div>
      </w:divsChild>
    </w:div>
    <w:div w:id="10004293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816">
          <w:marLeft w:val="1027"/>
          <w:marRight w:val="0"/>
          <w:marTop w:val="0"/>
          <w:marBottom w:val="0"/>
          <w:divBdr>
            <w:top w:val="none" w:sz="0" w:space="0" w:color="auto"/>
            <w:left w:val="none" w:sz="0" w:space="0" w:color="auto"/>
            <w:bottom w:val="none" w:sz="0" w:space="0" w:color="auto"/>
            <w:right w:val="none" w:sz="0" w:space="0" w:color="auto"/>
          </w:divBdr>
        </w:div>
        <w:div w:id="1360200259">
          <w:marLeft w:val="1027"/>
          <w:marRight w:val="0"/>
          <w:marTop w:val="0"/>
          <w:marBottom w:val="0"/>
          <w:divBdr>
            <w:top w:val="none" w:sz="0" w:space="0" w:color="auto"/>
            <w:left w:val="none" w:sz="0" w:space="0" w:color="auto"/>
            <w:bottom w:val="none" w:sz="0" w:space="0" w:color="auto"/>
            <w:right w:val="none" w:sz="0" w:space="0" w:color="auto"/>
          </w:divBdr>
        </w:div>
      </w:divsChild>
    </w:div>
    <w:div w:id="1027414404">
      <w:bodyDiv w:val="1"/>
      <w:marLeft w:val="0"/>
      <w:marRight w:val="0"/>
      <w:marTop w:val="0"/>
      <w:marBottom w:val="0"/>
      <w:divBdr>
        <w:top w:val="none" w:sz="0" w:space="0" w:color="auto"/>
        <w:left w:val="none" w:sz="0" w:space="0" w:color="auto"/>
        <w:bottom w:val="none" w:sz="0" w:space="0" w:color="auto"/>
        <w:right w:val="none" w:sz="0" w:space="0" w:color="auto"/>
      </w:divBdr>
    </w:div>
    <w:div w:id="1029375044">
      <w:bodyDiv w:val="1"/>
      <w:marLeft w:val="0"/>
      <w:marRight w:val="0"/>
      <w:marTop w:val="0"/>
      <w:marBottom w:val="0"/>
      <w:divBdr>
        <w:top w:val="none" w:sz="0" w:space="0" w:color="auto"/>
        <w:left w:val="none" w:sz="0" w:space="0" w:color="auto"/>
        <w:bottom w:val="none" w:sz="0" w:space="0" w:color="auto"/>
        <w:right w:val="none" w:sz="0" w:space="0" w:color="auto"/>
      </w:divBdr>
    </w:div>
    <w:div w:id="1040394468">
      <w:bodyDiv w:val="1"/>
      <w:marLeft w:val="0"/>
      <w:marRight w:val="0"/>
      <w:marTop w:val="0"/>
      <w:marBottom w:val="0"/>
      <w:divBdr>
        <w:top w:val="none" w:sz="0" w:space="0" w:color="auto"/>
        <w:left w:val="none" w:sz="0" w:space="0" w:color="auto"/>
        <w:bottom w:val="none" w:sz="0" w:space="0" w:color="auto"/>
        <w:right w:val="none" w:sz="0" w:space="0" w:color="auto"/>
      </w:divBdr>
    </w:div>
    <w:div w:id="1052076680">
      <w:bodyDiv w:val="1"/>
      <w:marLeft w:val="0"/>
      <w:marRight w:val="0"/>
      <w:marTop w:val="0"/>
      <w:marBottom w:val="0"/>
      <w:divBdr>
        <w:top w:val="none" w:sz="0" w:space="0" w:color="auto"/>
        <w:left w:val="none" w:sz="0" w:space="0" w:color="auto"/>
        <w:bottom w:val="none" w:sz="0" w:space="0" w:color="auto"/>
        <w:right w:val="none" w:sz="0" w:space="0" w:color="auto"/>
      </w:divBdr>
      <w:divsChild>
        <w:div w:id="1319722229">
          <w:marLeft w:val="1027"/>
          <w:marRight w:val="0"/>
          <w:marTop w:val="0"/>
          <w:marBottom w:val="0"/>
          <w:divBdr>
            <w:top w:val="none" w:sz="0" w:space="0" w:color="auto"/>
            <w:left w:val="none" w:sz="0" w:space="0" w:color="auto"/>
            <w:bottom w:val="none" w:sz="0" w:space="0" w:color="auto"/>
            <w:right w:val="none" w:sz="0" w:space="0" w:color="auto"/>
          </w:divBdr>
        </w:div>
      </w:divsChild>
    </w:div>
    <w:div w:id="1065421879">
      <w:bodyDiv w:val="1"/>
      <w:marLeft w:val="0"/>
      <w:marRight w:val="0"/>
      <w:marTop w:val="0"/>
      <w:marBottom w:val="0"/>
      <w:divBdr>
        <w:top w:val="none" w:sz="0" w:space="0" w:color="auto"/>
        <w:left w:val="none" w:sz="0" w:space="0" w:color="auto"/>
        <w:bottom w:val="none" w:sz="0" w:space="0" w:color="auto"/>
        <w:right w:val="none" w:sz="0" w:space="0" w:color="auto"/>
      </w:divBdr>
    </w:div>
    <w:div w:id="1078092253">
      <w:bodyDiv w:val="1"/>
      <w:marLeft w:val="0"/>
      <w:marRight w:val="0"/>
      <w:marTop w:val="0"/>
      <w:marBottom w:val="0"/>
      <w:divBdr>
        <w:top w:val="none" w:sz="0" w:space="0" w:color="auto"/>
        <w:left w:val="none" w:sz="0" w:space="0" w:color="auto"/>
        <w:bottom w:val="none" w:sz="0" w:space="0" w:color="auto"/>
        <w:right w:val="none" w:sz="0" w:space="0" w:color="auto"/>
      </w:divBdr>
    </w:div>
    <w:div w:id="1081178796">
      <w:bodyDiv w:val="1"/>
      <w:marLeft w:val="0"/>
      <w:marRight w:val="0"/>
      <w:marTop w:val="0"/>
      <w:marBottom w:val="0"/>
      <w:divBdr>
        <w:top w:val="none" w:sz="0" w:space="0" w:color="auto"/>
        <w:left w:val="none" w:sz="0" w:space="0" w:color="auto"/>
        <w:bottom w:val="none" w:sz="0" w:space="0" w:color="auto"/>
        <w:right w:val="none" w:sz="0" w:space="0" w:color="auto"/>
      </w:divBdr>
    </w:div>
    <w:div w:id="1098332156">
      <w:bodyDiv w:val="1"/>
      <w:marLeft w:val="0"/>
      <w:marRight w:val="0"/>
      <w:marTop w:val="0"/>
      <w:marBottom w:val="0"/>
      <w:divBdr>
        <w:top w:val="none" w:sz="0" w:space="0" w:color="auto"/>
        <w:left w:val="none" w:sz="0" w:space="0" w:color="auto"/>
        <w:bottom w:val="none" w:sz="0" w:space="0" w:color="auto"/>
        <w:right w:val="none" w:sz="0" w:space="0" w:color="auto"/>
      </w:divBdr>
      <w:divsChild>
        <w:div w:id="1248540471">
          <w:marLeft w:val="1027"/>
          <w:marRight w:val="0"/>
          <w:marTop w:val="0"/>
          <w:marBottom w:val="0"/>
          <w:divBdr>
            <w:top w:val="none" w:sz="0" w:space="0" w:color="auto"/>
            <w:left w:val="none" w:sz="0" w:space="0" w:color="auto"/>
            <w:bottom w:val="none" w:sz="0" w:space="0" w:color="auto"/>
            <w:right w:val="none" w:sz="0" w:space="0" w:color="auto"/>
          </w:divBdr>
        </w:div>
      </w:divsChild>
    </w:div>
    <w:div w:id="1128008577">
      <w:bodyDiv w:val="1"/>
      <w:marLeft w:val="0"/>
      <w:marRight w:val="0"/>
      <w:marTop w:val="0"/>
      <w:marBottom w:val="0"/>
      <w:divBdr>
        <w:top w:val="none" w:sz="0" w:space="0" w:color="auto"/>
        <w:left w:val="none" w:sz="0" w:space="0" w:color="auto"/>
        <w:bottom w:val="none" w:sz="0" w:space="0" w:color="auto"/>
        <w:right w:val="none" w:sz="0" w:space="0" w:color="auto"/>
      </w:divBdr>
    </w:div>
    <w:div w:id="1156385615">
      <w:bodyDiv w:val="1"/>
      <w:marLeft w:val="0"/>
      <w:marRight w:val="0"/>
      <w:marTop w:val="0"/>
      <w:marBottom w:val="0"/>
      <w:divBdr>
        <w:top w:val="none" w:sz="0" w:space="0" w:color="auto"/>
        <w:left w:val="none" w:sz="0" w:space="0" w:color="auto"/>
        <w:bottom w:val="none" w:sz="0" w:space="0" w:color="auto"/>
        <w:right w:val="none" w:sz="0" w:space="0" w:color="auto"/>
      </w:divBdr>
    </w:div>
    <w:div w:id="1174299279">
      <w:bodyDiv w:val="1"/>
      <w:marLeft w:val="0"/>
      <w:marRight w:val="0"/>
      <w:marTop w:val="0"/>
      <w:marBottom w:val="0"/>
      <w:divBdr>
        <w:top w:val="none" w:sz="0" w:space="0" w:color="auto"/>
        <w:left w:val="none" w:sz="0" w:space="0" w:color="auto"/>
        <w:bottom w:val="none" w:sz="0" w:space="0" w:color="auto"/>
        <w:right w:val="none" w:sz="0" w:space="0" w:color="auto"/>
      </w:divBdr>
    </w:div>
    <w:div w:id="1178234735">
      <w:bodyDiv w:val="1"/>
      <w:marLeft w:val="0"/>
      <w:marRight w:val="0"/>
      <w:marTop w:val="0"/>
      <w:marBottom w:val="0"/>
      <w:divBdr>
        <w:top w:val="none" w:sz="0" w:space="0" w:color="auto"/>
        <w:left w:val="none" w:sz="0" w:space="0" w:color="auto"/>
        <w:bottom w:val="none" w:sz="0" w:space="0" w:color="auto"/>
        <w:right w:val="none" w:sz="0" w:space="0" w:color="auto"/>
      </w:divBdr>
    </w:div>
    <w:div w:id="1208758273">
      <w:bodyDiv w:val="1"/>
      <w:marLeft w:val="0"/>
      <w:marRight w:val="0"/>
      <w:marTop w:val="0"/>
      <w:marBottom w:val="0"/>
      <w:divBdr>
        <w:top w:val="none" w:sz="0" w:space="0" w:color="auto"/>
        <w:left w:val="none" w:sz="0" w:space="0" w:color="auto"/>
        <w:bottom w:val="none" w:sz="0" w:space="0" w:color="auto"/>
        <w:right w:val="none" w:sz="0" w:space="0" w:color="auto"/>
      </w:divBdr>
    </w:div>
    <w:div w:id="1222525277">
      <w:bodyDiv w:val="1"/>
      <w:marLeft w:val="0"/>
      <w:marRight w:val="0"/>
      <w:marTop w:val="0"/>
      <w:marBottom w:val="0"/>
      <w:divBdr>
        <w:top w:val="none" w:sz="0" w:space="0" w:color="auto"/>
        <w:left w:val="none" w:sz="0" w:space="0" w:color="auto"/>
        <w:bottom w:val="none" w:sz="0" w:space="0" w:color="auto"/>
        <w:right w:val="none" w:sz="0" w:space="0" w:color="auto"/>
      </w:divBdr>
    </w:div>
    <w:div w:id="1233539761">
      <w:bodyDiv w:val="1"/>
      <w:marLeft w:val="0"/>
      <w:marRight w:val="0"/>
      <w:marTop w:val="0"/>
      <w:marBottom w:val="0"/>
      <w:divBdr>
        <w:top w:val="none" w:sz="0" w:space="0" w:color="auto"/>
        <w:left w:val="none" w:sz="0" w:space="0" w:color="auto"/>
        <w:bottom w:val="none" w:sz="0" w:space="0" w:color="auto"/>
        <w:right w:val="none" w:sz="0" w:space="0" w:color="auto"/>
      </w:divBdr>
    </w:div>
    <w:div w:id="1340348680">
      <w:bodyDiv w:val="1"/>
      <w:marLeft w:val="0"/>
      <w:marRight w:val="0"/>
      <w:marTop w:val="0"/>
      <w:marBottom w:val="0"/>
      <w:divBdr>
        <w:top w:val="none" w:sz="0" w:space="0" w:color="auto"/>
        <w:left w:val="none" w:sz="0" w:space="0" w:color="auto"/>
        <w:bottom w:val="none" w:sz="0" w:space="0" w:color="auto"/>
        <w:right w:val="none" w:sz="0" w:space="0" w:color="auto"/>
      </w:divBdr>
      <w:divsChild>
        <w:div w:id="1537505891">
          <w:marLeft w:val="1027"/>
          <w:marRight w:val="0"/>
          <w:marTop w:val="0"/>
          <w:marBottom w:val="0"/>
          <w:divBdr>
            <w:top w:val="none" w:sz="0" w:space="0" w:color="auto"/>
            <w:left w:val="none" w:sz="0" w:space="0" w:color="auto"/>
            <w:bottom w:val="none" w:sz="0" w:space="0" w:color="auto"/>
            <w:right w:val="none" w:sz="0" w:space="0" w:color="auto"/>
          </w:divBdr>
        </w:div>
        <w:div w:id="1073577578">
          <w:marLeft w:val="1027"/>
          <w:marRight w:val="0"/>
          <w:marTop w:val="0"/>
          <w:marBottom w:val="0"/>
          <w:divBdr>
            <w:top w:val="none" w:sz="0" w:space="0" w:color="auto"/>
            <w:left w:val="none" w:sz="0" w:space="0" w:color="auto"/>
            <w:bottom w:val="none" w:sz="0" w:space="0" w:color="auto"/>
            <w:right w:val="none" w:sz="0" w:space="0" w:color="auto"/>
          </w:divBdr>
        </w:div>
        <w:div w:id="2099054634">
          <w:marLeft w:val="1027"/>
          <w:marRight w:val="0"/>
          <w:marTop w:val="0"/>
          <w:marBottom w:val="0"/>
          <w:divBdr>
            <w:top w:val="none" w:sz="0" w:space="0" w:color="auto"/>
            <w:left w:val="none" w:sz="0" w:space="0" w:color="auto"/>
            <w:bottom w:val="none" w:sz="0" w:space="0" w:color="auto"/>
            <w:right w:val="none" w:sz="0" w:space="0" w:color="auto"/>
          </w:divBdr>
        </w:div>
      </w:divsChild>
    </w:div>
    <w:div w:id="1351295384">
      <w:bodyDiv w:val="1"/>
      <w:marLeft w:val="0"/>
      <w:marRight w:val="0"/>
      <w:marTop w:val="0"/>
      <w:marBottom w:val="0"/>
      <w:divBdr>
        <w:top w:val="none" w:sz="0" w:space="0" w:color="auto"/>
        <w:left w:val="none" w:sz="0" w:space="0" w:color="auto"/>
        <w:bottom w:val="none" w:sz="0" w:space="0" w:color="auto"/>
        <w:right w:val="none" w:sz="0" w:space="0" w:color="auto"/>
      </w:divBdr>
    </w:div>
    <w:div w:id="1382483273">
      <w:bodyDiv w:val="1"/>
      <w:marLeft w:val="0"/>
      <w:marRight w:val="0"/>
      <w:marTop w:val="0"/>
      <w:marBottom w:val="0"/>
      <w:divBdr>
        <w:top w:val="none" w:sz="0" w:space="0" w:color="auto"/>
        <w:left w:val="none" w:sz="0" w:space="0" w:color="auto"/>
        <w:bottom w:val="none" w:sz="0" w:space="0" w:color="auto"/>
        <w:right w:val="none" w:sz="0" w:space="0" w:color="auto"/>
      </w:divBdr>
    </w:div>
    <w:div w:id="1383560889">
      <w:bodyDiv w:val="1"/>
      <w:marLeft w:val="0"/>
      <w:marRight w:val="0"/>
      <w:marTop w:val="0"/>
      <w:marBottom w:val="0"/>
      <w:divBdr>
        <w:top w:val="none" w:sz="0" w:space="0" w:color="auto"/>
        <w:left w:val="none" w:sz="0" w:space="0" w:color="auto"/>
        <w:bottom w:val="none" w:sz="0" w:space="0" w:color="auto"/>
        <w:right w:val="none" w:sz="0" w:space="0" w:color="auto"/>
      </w:divBdr>
    </w:div>
    <w:div w:id="1384214002">
      <w:bodyDiv w:val="1"/>
      <w:marLeft w:val="0"/>
      <w:marRight w:val="0"/>
      <w:marTop w:val="0"/>
      <w:marBottom w:val="0"/>
      <w:divBdr>
        <w:top w:val="none" w:sz="0" w:space="0" w:color="auto"/>
        <w:left w:val="none" w:sz="0" w:space="0" w:color="auto"/>
        <w:bottom w:val="none" w:sz="0" w:space="0" w:color="auto"/>
        <w:right w:val="none" w:sz="0" w:space="0" w:color="auto"/>
      </w:divBdr>
    </w:div>
    <w:div w:id="1400246797">
      <w:bodyDiv w:val="1"/>
      <w:marLeft w:val="0"/>
      <w:marRight w:val="0"/>
      <w:marTop w:val="0"/>
      <w:marBottom w:val="0"/>
      <w:divBdr>
        <w:top w:val="none" w:sz="0" w:space="0" w:color="auto"/>
        <w:left w:val="none" w:sz="0" w:space="0" w:color="auto"/>
        <w:bottom w:val="none" w:sz="0" w:space="0" w:color="auto"/>
        <w:right w:val="none" w:sz="0" w:space="0" w:color="auto"/>
      </w:divBdr>
    </w:div>
    <w:div w:id="1401363742">
      <w:bodyDiv w:val="1"/>
      <w:marLeft w:val="0"/>
      <w:marRight w:val="0"/>
      <w:marTop w:val="0"/>
      <w:marBottom w:val="0"/>
      <w:divBdr>
        <w:top w:val="none" w:sz="0" w:space="0" w:color="auto"/>
        <w:left w:val="none" w:sz="0" w:space="0" w:color="auto"/>
        <w:bottom w:val="none" w:sz="0" w:space="0" w:color="auto"/>
        <w:right w:val="none" w:sz="0" w:space="0" w:color="auto"/>
      </w:divBdr>
    </w:div>
    <w:div w:id="1407874611">
      <w:bodyDiv w:val="1"/>
      <w:marLeft w:val="0"/>
      <w:marRight w:val="0"/>
      <w:marTop w:val="0"/>
      <w:marBottom w:val="0"/>
      <w:divBdr>
        <w:top w:val="none" w:sz="0" w:space="0" w:color="auto"/>
        <w:left w:val="none" w:sz="0" w:space="0" w:color="auto"/>
        <w:bottom w:val="none" w:sz="0" w:space="0" w:color="auto"/>
        <w:right w:val="none" w:sz="0" w:space="0" w:color="auto"/>
      </w:divBdr>
    </w:div>
    <w:div w:id="1427727840">
      <w:bodyDiv w:val="1"/>
      <w:marLeft w:val="0"/>
      <w:marRight w:val="0"/>
      <w:marTop w:val="0"/>
      <w:marBottom w:val="0"/>
      <w:divBdr>
        <w:top w:val="none" w:sz="0" w:space="0" w:color="auto"/>
        <w:left w:val="none" w:sz="0" w:space="0" w:color="auto"/>
        <w:bottom w:val="none" w:sz="0" w:space="0" w:color="auto"/>
        <w:right w:val="none" w:sz="0" w:space="0" w:color="auto"/>
      </w:divBdr>
    </w:div>
    <w:div w:id="1472551406">
      <w:bodyDiv w:val="1"/>
      <w:marLeft w:val="0"/>
      <w:marRight w:val="0"/>
      <w:marTop w:val="0"/>
      <w:marBottom w:val="0"/>
      <w:divBdr>
        <w:top w:val="none" w:sz="0" w:space="0" w:color="auto"/>
        <w:left w:val="none" w:sz="0" w:space="0" w:color="auto"/>
        <w:bottom w:val="none" w:sz="0" w:space="0" w:color="auto"/>
        <w:right w:val="none" w:sz="0" w:space="0" w:color="auto"/>
      </w:divBdr>
      <w:divsChild>
        <w:div w:id="2126384188">
          <w:marLeft w:val="1027"/>
          <w:marRight w:val="0"/>
          <w:marTop w:val="0"/>
          <w:marBottom w:val="0"/>
          <w:divBdr>
            <w:top w:val="none" w:sz="0" w:space="0" w:color="auto"/>
            <w:left w:val="none" w:sz="0" w:space="0" w:color="auto"/>
            <w:bottom w:val="none" w:sz="0" w:space="0" w:color="auto"/>
            <w:right w:val="none" w:sz="0" w:space="0" w:color="auto"/>
          </w:divBdr>
        </w:div>
      </w:divsChild>
    </w:div>
    <w:div w:id="1513572931">
      <w:bodyDiv w:val="1"/>
      <w:marLeft w:val="0"/>
      <w:marRight w:val="0"/>
      <w:marTop w:val="0"/>
      <w:marBottom w:val="0"/>
      <w:divBdr>
        <w:top w:val="none" w:sz="0" w:space="0" w:color="auto"/>
        <w:left w:val="none" w:sz="0" w:space="0" w:color="auto"/>
        <w:bottom w:val="none" w:sz="0" w:space="0" w:color="auto"/>
        <w:right w:val="none" w:sz="0" w:space="0" w:color="auto"/>
      </w:divBdr>
    </w:div>
    <w:div w:id="1514301400">
      <w:bodyDiv w:val="1"/>
      <w:marLeft w:val="0"/>
      <w:marRight w:val="0"/>
      <w:marTop w:val="0"/>
      <w:marBottom w:val="0"/>
      <w:divBdr>
        <w:top w:val="none" w:sz="0" w:space="0" w:color="auto"/>
        <w:left w:val="none" w:sz="0" w:space="0" w:color="auto"/>
        <w:bottom w:val="none" w:sz="0" w:space="0" w:color="auto"/>
        <w:right w:val="none" w:sz="0" w:space="0" w:color="auto"/>
      </w:divBdr>
    </w:div>
    <w:div w:id="1514759043">
      <w:bodyDiv w:val="1"/>
      <w:marLeft w:val="0"/>
      <w:marRight w:val="0"/>
      <w:marTop w:val="0"/>
      <w:marBottom w:val="0"/>
      <w:divBdr>
        <w:top w:val="none" w:sz="0" w:space="0" w:color="auto"/>
        <w:left w:val="none" w:sz="0" w:space="0" w:color="auto"/>
        <w:bottom w:val="none" w:sz="0" w:space="0" w:color="auto"/>
        <w:right w:val="none" w:sz="0" w:space="0" w:color="auto"/>
      </w:divBdr>
    </w:div>
    <w:div w:id="1532457799">
      <w:bodyDiv w:val="1"/>
      <w:marLeft w:val="0"/>
      <w:marRight w:val="0"/>
      <w:marTop w:val="0"/>
      <w:marBottom w:val="0"/>
      <w:divBdr>
        <w:top w:val="none" w:sz="0" w:space="0" w:color="auto"/>
        <w:left w:val="none" w:sz="0" w:space="0" w:color="auto"/>
        <w:bottom w:val="none" w:sz="0" w:space="0" w:color="auto"/>
        <w:right w:val="none" w:sz="0" w:space="0" w:color="auto"/>
      </w:divBdr>
    </w:div>
    <w:div w:id="1580140703">
      <w:bodyDiv w:val="1"/>
      <w:marLeft w:val="0"/>
      <w:marRight w:val="0"/>
      <w:marTop w:val="0"/>
      <w:marBottom w:val="0"/>
      <w:divBdr>
        <w:top w:val="none" w:sz="0" w:space="0" w:color="auto"/>
        <w:left w:val="none" w:sz="0" w:space="0" w:color="auto"/>
        <w:bottom w:val="none" w:sz="0" w:space="0" w:color="auto"/>
        <w:right w:val="none" w:sz="0" w:space="0" w:color="auto"/>
      </w:divBdr>
    </w:div>
    <w:div w:id="1580217507">
      <w:bodyDiv w:val="1"/>
      <w:marLeft w:val="0"/>
      <w:marRight w:val="0"/>
      <w:marTop w:val="0"/>
      <w:marBottom w:val="0"/>
      <w:divBdr>
        <w:top w:val="none" w:sz="0" w:space="0" w:color="auto"/>
        <w:left w:val="none" w:sz="0" w:space="0" w:color="auto"/>
        <w:bottom w:val="none" w:sz="0" w:space="0" w:color="auto"/>
        <w:right w:val="none" w:sz="0" w:space="0" w:color="auto"/>
      </w:divBdr>
    </w:div>
    <w:div w:id="1601403492">
      <w:bodyDiv w:val="1"/>
      <w:marLeft w:val="0"/>
      <w:marRight w:val="0"/>
      <w:marTop w:val="0"/>
      <w:marBottom w:val="0"/>
      <w:divBdr>
        <w:top w:val="none" w:sz="0" w:space="0" w:color="auto"/>
        <w:left w:val="none" w:sz="0" w:space="0" w:color="auto"/>
        <w:bottom w:val="none" w:sz="0" w:space="0" w:color="auto"/>
        <w:right w:val="none" w:sz="0" w:space="0" w:color="auto"/>
      </w:divBdr>
      <w:divsChild>
        <w:div w:id="791946784">
          <w:marLeft w:val="1027"/>
          <w:marRight w:val="0"/>
          <w:marTop w:val="0"/>
          <w:marBottom w:val="0"/>
          <w:divBdr>
            <w:top w:val="none" w:sz="0" w:space="0" w:color="auto"/>
            <w:left w:val="none" w:sz="0" w:space="0" w:color="auto"/>
            <w:bottom w:val="none" w:sz="0" w:space="0" w:color="auto"/>
            <w:right w:val="none" w:sz="0" w:space="0" w:color="auto"/>
          </w:divBdr>
        </w:div>
        <w:div w:id="1663342">
          <w:marLeft w:val="1027"/>
          <w:marRight w:val="0"/>
          <w:marTop w:val="0"/>
          <w:marBottom w:val="0"/>
          <w:divBdr>
            <w:top w:val="none" w:sz="0" w:space="0" w:color="auto"/>
            <w:left w:val="none" w:sz="0" w:space="0" w:color="auto"/>
            <w:bottom w:val="none" w:sz="0" w:space="0" w:color="auto"/>
            <w:right w:val="none" w:sz="0" w:space="0" w:color="auto"/>
          </w:divBdr>
        </w:div>
        <w:div w:id="2049406770">
          <w:marLeft w:val="1027"/>
          <w:marRight w:val="0"/>
          <w:marTop w:val="0"/>
          <w:marBottom w:val="0"/>
          <w:divBdr>
            <w:top w:val="none" w:sz="0" w:space="0" w:color="auto"/>
            <w:left w:val="none" w:sz="0" w:space="0" w:color="auto"/>
            <w:bottom w:val="none" w:sz="0" w:space="0" w:color="auto"/>
            <w:right w:val="none" w:sz="0" w:space="0" w:color="auto"/>
          </w:divBdr>
        </w:div>
      </w:divsChild>
    </w:div>
    <w:div w:id="1613784936">
      <w:bodyDiv w:val="1"/>
      <w:marLeft w:val="0"/>
      <w:marRight w:val="0"/>
      <w:marTop w:val="0"/>
      <w:marBottom w:val="0"/>
      <w:divBdr>
        <w:top w:val="none" w:sz="0" w:space="0" w:color="auto"/>
        <w:left w:val="none" w:sz="0" w:space="0" w:color="auto"/>
        <w:bottom w:val="none" w:sz="0" w:space="0" w:color="auto"/>
        <w:right w:val="none" w:sz="0" w:space="0" w:color="auto"/>
      </w:divBdr>
    </w:div>
    <w:div w:id="1622572717">
      <w:bodyDiv w:val="1"/>
      <w:marLeft w:val="0"/>
      <w:marRight w:val="0"/>
      <w:marTop w:val="0"/>
      <w:marBottom w:val="0"/>
      <w:divBdr>
        <w:top w:val="none" w:sz="0" w:space="0" w:color="auto"/>
        <w:left w:val="none" w:sz="0" w:space="0" w:color="auto"/>
        <w:bottom w:val="none" w:sz="0" w:space="0" w:color="auto"/>
        <w:right w:val="none" w:sz="0" w:space="0" w:color="auto"/>
      </w:divBdr>
    </w:div>
    <w:div w:id="1660494742">
      <w:bodyDiv w:val="1"/>
      <w:marLeft w:val="0"/>
      <w:marRight w:val="0"/>
      <w:marTop w:val="0"/>
      <w:marBottom w:val="0"/>
      <w:divBdr>
        <w:top w:val="none" w:sz="0" w:space="0" w:color="auto"/>
        <w:left w:val="none" w:sz="0" w:space="0" w:color="auto"/>
        <w:bottom w:val="none" w:sz="0" w:space="0" w:color="auto"/>
        <w:right w:val="none" w:sz="0" w:space="0" w:color="auto"/>
      </w:divBdr>
    </w:div>
    <w:div w:id="1689408832">
      <w:bodyDiv w:val="1"/>
      <w:marLeft w:val="0"/>
      <w:marRight w:val="0"/>
      <w:marTop w:val="0"/>
      <w:marBottom w:val="0"/>
      <w:divBdr>
        <w:top w:val="none" w:sz="0" w:space="0" w:color="auto"/>
        <w:left w:val="none" w:sz="0" w:space="0" w:color="auto"/>
        <w:bottom w:val="none" w:sz="0" w:space="0" w:color="auto"/>
        <w:right w:val="none" w:sz="0" w:space="0" w:color="auto"/>
      </w:divBdr>
    </w:div>
    <w:div w:id="1723670930">
      <w:bodyDiv w:val="1"/>
      <w:marLeft w:val="0"/>
      <w:marRight w:val="0"/>
      <w:marTop w:val="0"/>
      <w:marBottom w:val="0"/>
      <w:divBdr>
        <w:top w:val="none" w:sz="0" w:space="0" w:color="auto"/>
        <w:left w:val="none" w:sz="0" w:space="0" w:color="auto"/>
        <w:bottom w:val="none" w:sz="0" w:space="0" w:color="auto"/>
        <w:right w:val="none" w:sz="0" w:space="0" w:color="auto"/>
      </w:divBdr>
    </w:div>
    <w:div w:id="1774789304">
      <w:bodyDiv w:val="1"/>
      <w:marLeft w:val="0"/>
      <w:marRight w:val="0"/>
      <w:marTop w:val="0"/>
      <w:marBottom w:val="0"/>
      <w:divBdr>
        <w:top w:val="none" w:sz="0" w:space="0" w:color="auto"/>
        <w:left w:val="none" w:sz="0" w:space="0" w:color="auto"/>
        <w:bottom w:val="none" w:sz="0" w:space="0" w:color="auto"/>
        <w:right w:val="none" w:sz="0" w:space="0" w:color="auto"/>
      </w:divBdr>
    </w:div>
    <w:div w:id="1875385064">
      <w:bodyDiv w:val="1"/>
      <w:marLeft w:val="0"/>
      <w:marRight w:val="0"/>
      <w:marTop w:val="0"/>
      <w:marBottom w:val="0"/>
      <w:divBdr>
        <w:top w:val="none" w:sz="0" w:space="0" w:color="auto"/>
        <w:left w:val="none" w:sz="0" w:space="0" w:color="auto"/>
        <w:bottom w:val="none" w:sz="0" w:space="0" w:color="auto"/>
        <w:right w:val="none" w:sz="0" w:space="0" w:color="auto"/>
      </w:divBdr>
    </w:div>
    <w:div w:id="1894927723">
      <w:bodyDiv w:val="1"/>
      <w:marLeft w:val="0"/>
      <w:marRight w:val="0"/>
      <w:marTop w:val="0"/>
      <w:marBottom w:val="0"/>
      <w:divBdr>
        <w:top w:val="none" w:sz="0" w:space="0" w:color="auto"/>
        <w:left w:val="none" w:sz="0" w:space="0" w:color="auto"/>
        <w:bottom w:val="none" w:sz="0" w:space="0" w:color="auto"/>
        <w:right w:val="none" w:sz="0" w:space="0" w:color="auto"/>
      </w:divBdr>
    </w:div>
    <w:div w:id="1937669580">
      <w:bodyDiv w:val="1"/>
      <w:marLeft w:val="0"/>
      <w:marRight w:val="0"/>
      <w:marTop w:val="0"/>
      <w:marBottom w:val="0"/>
      <w:divBdr>
        <w:top w:val="none" w:sz="0" w:space="0" w:color="auto"/>
        <w:left w:val="none" w:sz="0" w:space="0" w:color="auto"/>
        <w:bottom w:val="none" w:sz="0" w:space="0" w:color="auto"/>
        <w:right w:val="none" w:sz="0" w:space="0" w:color="auto"/>
      </w:divBdr>
    </w:div>
    <w:div w:id="1960990277">
      <w:bodyDiv w:val="1"/>
      <w:marLeft w:val="0"/>
      <w:marRight w:val="0"/>
      <w:marTop w:val="0"/>
      <w:marBottom w:val="0"/>
      <w:divBdr>
        <w:top w:val="none" w:sz="0" w:space="0" w:color="auto"/>
        <w:left w:val="none" w:sz="0" w:space="0" w:color="auto"/>
        <w:bottom w:val="none" w:sz="0" w:space="0" w:color="auto"/>
        <w:right w:val="none" w:sz="0" w:space="0" w:color="auto"/>
      </w:divBdr>
      <w:divsChild>
        <w:div w:id="1323435645">
          <w:marLeft w:val="1027"/>
          <w:marRight w:val="0"/>
          <w:marTop w:val="0"/>
          <w:marBottom w:val="0"/>
          <w:divBdr>
            <w:top w:val="none" w:sz="0" w:space="0" w:color="auto"/>
            <w:left w:val="none" w:sz="0" w:space="0" w:color="auto"/>
            <w:bottom w:val="none" w:sz="0" w:space="0" w:color="auto"/>
            <w:right w:val="none" w:sz="0" w:space="0" w:color="auto"/>
          </w:divBdr>
        </w:div>
      </w:divsChild>
    </w:div>
    <w:div w:id="200319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215423</vt:lpwstr>
  </property>
  <property fmtid="{D5CDD505-2E9C-101B-9397-08002B2CF9AE}" pid="4" name="OptimizationTime">
    <vt:lpwstr>20220303_1707</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77</Pages>
  <Words>31904</Words>
  <Characters>181854</Characters>
  <Application>Microsoft Office Word</Application>
  <DocSecurity>4</DocSecurity>
  <Lines>1515</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Italiano</dc:creator>
  <cp:keywords/>
  <dc:description/>
  <cp:lastModifiedBy>Callum Montgomery</cp:lastModifiedBy>
  <cp:revision>2</cp:revision>
  <dcterms:created xsi:type="dcterms:W3CDTF">2022-03-03T11:19:00Z</dcterms:created>
  <dcterms:modified xsi:type="dcterms:W3CDTF">2022-03-03T11:19:00Z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2022-03-03T11:19:09Z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bbdc24bd-180b-498c-a022-a8ec97e80056</vt:lpwstr>
  </property>
  <property fmtid="{D5CDD505-2E9C-101B-9397-08002B2CF9AE}" pid="8" name="MSIP_Label_9108d454-5c13-4905-93be-12ec8059c842_ContentBits">
    <vt:lpwstr>2</vt:lpwstr>
  </property>
</Properties>
</file>